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D3DCD">
      <w:pPr>
        <w:spacing w:line="360" w:lineRule="auto"/>
        <w:ind w:firstLine="2240" w:firstLineChars="400"/>
        <w:rPr>
          <w:rFonts w:hint="eastAsia"/>
          <w:spacing w:val="20"/>
          <w:sz w:val="52"/>
          <w:szCs w:val="52"/>
        </w:rPr>
      </w:pPr>
    </w:p>
    <w:p w14:paraId="1B7B6CC6">
      <w:pPr>
        <w:spacing w:line="360" w:lineRule="auto"/>
        <w:jc w:val="center"/>
        <w:rPr>
          <w:rFonts w:ascii="黑体" w:hAnsi="黑体" w:eastAsia="黑体" w:cs="黑体"/>
          <w:b/>
          <w:bCs/>
          <w:sz w:val="72"/>
          <w:szCs w:val="72"/>
        </w:rPr>
      </w:pPr>
      <w:r>
        <w:rPr>
          <w:rFonts w:hint="eastAsia"/>
          <w:b/>
          <w:bCs/>
          <w:spacing w:val="20"/>
          <w:sz w:val="72"/>
          <w:szCs w:val="72"/>
        </w:rPr>
        <w:t>内蒙古标准化协会</w:t>
      </w:r>
    </w:p>
    <w:p w14:paraId="3A194537">
      <w:pPr>
        <w:spacing w:line="360" w:lineRule="auto"/>
        <w:ind w:firstLine="602" w:firstLineChars="200"/>
        <w:jc w:val="center"/>
        <w:rPr>
          <w:rFonts w:ascii="黑体" w:hAnsi="黑体" w:eastAsia="黑体" w:cs="黑体"/>
          <w:b/>
          <w:sz w:val="30"/>
          <w:szCs w:val="30"/>
        </w:rPr>
      </w:pPr>
    </w:p>
    <w:p w14:paraId="35EA5FCE">
      <w:pPr>
        <w:spacing w:line="360" w:lineRule="auto"/>
        <w:ind w:firstLine="602" w:firstLineChars="200"/>
        <w:jc w:val="center"/>
        <w:rPr>
          <w:rFonts w:ascii="黑体" w:hAnsi="黑体" w:eastAsia="黑体" w:cs="黑体"/>
          <w:b/>
          <w:sz w:val="30"/>
          <w:szCs w:val="30"/>
        </w:rPr>
      </w:pPr>
    </w:p>
    <w:p w14:paraId="341A649C">
      <w:pPr>
        <w:spacing w:after="240"/>
        <w:jc w:val="center"/>
        <w:rPr>
          <w:rFonts w:ascii="黑体" w:hAnsi="黑体" w:eastAsia="黑体" w:cs="黑体"/>
          <w:b/>
          <w:bCs/>
          <w:color w:val="000000"/>
          <w:kern w:val="0"/>
          <w:sz w:val="44"/>
          <w:szCs w:val="44"/>
        </w:rPr>
      </w:pPr>
      <w:r>
        <w:rPr>
          <w:rFonts w:hint="eastAsia" w:ascii="黑体" w:hAnsi="黑体" w:eastAsia="黑体" w:cs="黑体"/>
          <w:b/>
          <w:bCs/>
          <w:color w:val="000000"/>
          <w:kern w:val="0"/>
          <w:sz w:val="44"/>
          <w:szCs w:val="44"/>
        </w:rPr>
        <w:t>《</w:t>
      </w:r>
      <w:r>
        <w:rPr>
          <w:rFonts w:hint="eastAsia" w:ascii="黑体" w:hAnsi="黑体" w:eastAsia="黑体" w:cs="黑体"/>
          <w:b/>
          <w:bCs/>
          <w:color w:val="000000"/>
          <w:kern w:val="0"/>
          <w:sz w:val="44"/>
          <w:szCs w:val="44"/>
          <w:lang w:val="en-US" w:eastAsia="zh-CN"/>
        </w:rPr>
        <w:t>内蒙古优势特色农畜产品品质评价管理技术规范  鲜食马铃薯</w:t>
      </w:r>
      <w:r>
        <w:rPr>
          <w:rFonts w:hint="eastAsia" w:ascii="黑体" w:hAnsi="黑体" w:eastAsia="黑体" w:cs="黑体"/>
          <w:b/>
          <w:bCs/>
          <w:color w:val="000000"/>
          <w:kern w:val="0"/>
          <w:sz w:val="44"/>
          <w:szCs w:val="44"/>
        </w:rPr>
        <w:t>》</w:t>
      </w:r>
    </w:p>
    <w:p w14:paraId="1F180511">
      <w:pPr>
        <w:spacing w:after="240" w:line="360" w:lineRule="auto"/>
        <w:jc w:val="center"/>
        <w:rPr>
          <w:rFonts w:ascii="黑体" w:hAnsi="黑体" w:eastAsia="黑体" w:cs="黑体"/>
          <w:b/>
          <w:bCs/>
          <w:color w:val="000000"/>
          <w:kern w:val="0"/>
          <w:sz w:val="44"/>
          <w:szCs w:val="44"/>
        </w:rPr>
      </w:pPr>
      <w:r>
        <w:rPr>
          <w:rFonts w:hint="eastAsia" w:ascii="黑体" w:hAnsi="黑体" w:eastAsia="黑体" w:cs="黑体"/>
          <w:b/>
          <w:bCs/>
          <w:color w:val="000000"/>
          <w:kern w:val="0"/>
          <w:sz w:val="44"/>
          <w:szCs w:val="44"/>
        </w:rPr>
        <w:t>编制说明</w:t>
      </w:r>
    </w:p>
    <w:p w14:paraId="660DC720">
      <w:pPr>
        <w:spacing w:line="360" w:lineRule="auto"/>
        <w:jc w:val="center"/>
        <w:rPr>
          <w:rFonts w:ascii="黑体" w:hAnsi="黑体" w:eastAsia="黑体" w:cs="黑体"/>
          <w:b/>
          <w:bCs/>
          <w:color w:val="000000"/>
          <w:kern w:val="0"/>
          <w:sz w:val="44"/>
          <w:szCs w:val="44"/>
        </w:rPr>
      </w:pPr>
      <w:r>
        <w:rPr>
          <w:rFonts w:hint="eastAsia" w:ascii="黑体" w:hAnsi="黑体" w:eastAsia="黑体" w:cs="黑体"/>
          <w:b/>
          <w:bCs/>
          <w:color w:val="000000"/>
          <w:kern w:val="0"/>
          <w:sz w:val="44"/>
          <w:szCs w:val="44"/>
        </w:rPr>
        <w:t>（</w:t>
      </w:r>
      <w:r>
        <w:rPr>
          <w:rFonts w:hint="eastAsia" w:ascii="黑体" w:hAnsi="黑体" w:eastAsia="黑体" w:cs="黑体"/>
          <w:b/>
          <w:bCs/>
          <w:color w:val="000000"/>
          <w:kern w:val="0"/>
          <w:sz w:val="44"/>
          <w:szCs w:val="44"/>
          <w:lang w:val="en-US" w:eastAsia="zh-CN"/>
        </w:rPr>
        <w:t>征求意见稿</w:t>
      </w:r>
      <w:r>
        <w:rPr>
          <w:rFonts w:hint="eastAsia" w:ascii="黑体" w:hAnsi="黑体" w:eastAsia="黑体" w:cs="黑体"/>
          <w:b/>
          <w:bCs/>
          <w:color w:val="000000"/>
          <w:kern w:val="0"/>
          <w:sz w:val="44"/>
          <w:szCs w:val="44"/>
        </w:rPr>
        <w:t>）</w:t>
      </w:r>
    </w:p>
    <w:p w14:paraId="36CB98F4">
      <w:pPr>
        <w:spacing w:line="360" w:lineRule="auto"/>
        <w:ind w:firstLine="602" w:firstLineChars="200"/>
        <w:jc w:val="center"/>
        <w:rPr>
          <w:rFonts w:ascii="黑体" w:hAnsi="黑体" w:eastAsia="黑体" w:cs="黑体"/>
          <w:b/>
          <w:sz w:val="30"/>
          <w:szCs w:val="30"/>
        </w:rPr>
      </w:pPr>
    </w:p>
    <w:p w14:paraId="55257580">
      <w:pPr>
        <w:spacing w:line="360" w:lineRule="auto"/>
        <w:ind w:firstLine="602" w:firstLineChars="200"/>
        <w:jc w:val="center"/>
        <w:rPr>
          <w:rFonts w:ascii="黑体" w:hAnsi="黑体" w:eastAsia="黑体" w:cs="黑体"/>
          <w:b/>
          <w:sz w:val="30"/>
          <w:szCs w:val="30"/>
        </w:rPr>
      </w:pPr>
    </w:p>
    <w:p w14:paraId="1E1873A3">
      <w:pPr>
        <w:spacing w:line="360" w:lineRule="auto"/>
        <w:ind w:firstLine="602" w:firstLineChars="200"/>
        <w:jc w:val="center"/>
        <w:rPr>
          <w:rFonts w:ascii="黑体" w:hAnsi="黑体" w:eastAsia="黑体" w:cs="黑体"/>
          <w:b/>
          <w:sz w:val="30"/>
          <w:szCs w:val="30"/>
        </w:rPr>
      </w:pPr>
    </w:p>
    <w:p w14:paraId="3D7D73C3">
      <w:pPr>
        <w:spacing w:line="360" w:lineRule="auto"/>
        <w:ind w:firstLine="602" w:firstLineChars="200"/>
        <w:jc w:val="center"/>
        <w:rPr>
          <w:rFonts w:ascii="黑体" w:hAnsi="黑体" w:eastAsia="黑体" w:cs="黑体"/>
          <w:b/>
          <w:sz w:val="30"/>
          <w:szCs w:val="30"/>
        </w:rPr>
      </w:pPr>
    </w:p>
    <w:p w14:paraId="263049AD">
      <w:pPr>
        <w:spacing w:line="360" w:lineRule="auto"/>
        <w:ind w:firstLine="602" w:firstLineChars="200"/>
        <w:jc w:val="center"/>
        <w:rPr>
          <w:rFonts w:ascii="黑体" w:hAnsi="黑体" w:eastAsia="黑体" w:cs="黑体"/>
          <w:b/>
          <w:sz w:val="30"/>
          <w:szCs w:val="30"/>
        </w:rPr>
      </w:pPr>
    </w:p>
    <w:p w14:paraId="0DB525EC">
      <w:pPr>
        <w:spacing w:line="360" w:lineRule="auto"/>
        <w:jc w:val="both"/>
        <w:rPr>
          <w:rFonts w:ascii="黑体" w:hAnsi="黑体" w:eastAsia="黑体" w:cs="黑体"/>
          <w:b/>
          <w:sz w:val="30"/>
          <w:szCs w:val="30"/>
        </w:rPr>
      </w:pPr>
    </w:p>
    <w:p w14:paraId="00556DA2">
      <w:pPr>
        <w:spacing w:line="360" w:lineRule="auto"/>
        <w:ind w:firstLine="602" w:firstLineChars="200"/>
        <w:jc w:val="center"/>
        <w:rPr>
          <w:rFonts w:ascii="黑体" w:hAnsi="黑体" w:eastAsia="黑体" w:cs="黑体"/>
          <w:b/>
          <w:sz w:val="30"/>
          <w:szCs w:val="30"/>
        </w:rPr>
      </w:pPr>
    </w:p>
    <w:p w14:paraId="44EF6298">
      <w:pPr>
        <w:spacing w:line="360" w:lineRule="auto"/>
        <w:ind w:firstLine="602" w:firstLineChars="200"/>
        <w:jc w:val="center"/>
        <w:rPr>
          <w:rFonts w:ascii="黑体" w:hAnsi="黑体" w:eastAsia="黑体" w:cs="黑体"/>
          <w:b/>
          <w:sz w:val="30"/>
          <w:szCs w:val="30"/>
        </w:rPr>
      </w:pPr>
    </w:p>
    <w:p w14:paraId="7C5B5D86">
      <w:pPr>
        <w:spacing w:line="360" w:lineRule="auto"/>
        <w:jc w:val="center"/>
        <w:rPr>
          <w:rFonts w:ascii="黑体" w:hAnsi="黑体" w:eastAsia="黑体" w:cs="黑体"/>
          <w:b w:val="0"/>
          <w:bCs/>
          <w:sz w:val="32"/>
          <w:szCs w:val="32"/>
        </w:rPr>
      </w:pPr>
      <w:r>
        <w:rPr>
          <w:rFonts w:hint="eastAsia" w:ascii="黑体" w:hAnsi="黑体" w:eastAsia="黑体" w:cs="黑体"/>
          <w:b w:val="0"/>
          <w:bCs/>
          <w:sz w:val="32"/>
          <w:szCs w:val="32"/>
          <w:lang w:val="en-US" w:eastAsia="zh-CN"/>
        </w:rPr>
        <w:t>标准</w:t>
      </w:r>
      <w:r>
        <w:rPr>
          <w:rFonts w:hint="eastAsia" w:ascii="黑体" w:hAnsi="黑体" w:eastAsia="黑体" w:cs="黑体"/>
          <w:b w:val="0"/>
          <w:bCs/>
          <w:sz w:val="32"/>
          <w:szCs w:val="32"/>
        </w:rPr>
        <w:t>起草组</w:t>
      </w:r>
    </w:p>
    <w:p w14:paraId="1C6D07C7">
      <w:pPr>
        <w:spacing w:line="360" w:lineRule="auto"/>
        <w:jc w:val="center"/>
        <w:rPr>
          <w:rFonts w:ascii="黑体" w:hAnsi="黑体" w:eastAsia="黑体" w:cs="黑体"/>
          <w:b w:val="0"/>
          <w:bCs/>
          <w:sz w:val="32"/>
          <w:szCs w:val="32"/>
        </w:rPr>
      </w:pPr>
      <w:r>
        <w:rPr>
          <w:rFonts w:hint="eastAsia" w:ascii="黑体" w:hAnsi="黑体" w:eastAsia="黑体" w:cs="黑体"/>
          <w:b w:val="0"/>
          <w:bCs/>
          <w:sz w:val="32"/>
          <w:szCs w:val="32"/>
        </w:rPr>
        <w:t>20</w:t>
      </w:r>
      <w:r>
        <w:rPr>
          <w:rFonts w:ascii="黑体" w:hAnsi="黑体" w:eastAsia="黑体" w:cs="黑体"/>
          <w:b w:val="0"/>
          <w:bCs/>
          <w:sz w:val="32"/>
          <w:szCs w:val="32"/>
        </w:rPr>
        <w:t>2</w:t>
      </w:r>
      <w:r>
        <w:rPr>
          <w:rFonts w:hint="eastAsia" w:ascii="黑体" w:hAnsi="黑体" w:eastAsia="黑体" w:cs="黑体"/>
          <w:b w:val="0"/>
          <w:bCs/>
          <w:sz w:val="32"/>
          <w:szCs w:val="32"/>
          <w:lang w:val="en-US" w:eastAsia="zh-CN"/>
        </w:rPr>
        <w:t>4</w:t>
      </w:r>
      <w:r>
        <w:rPr>
          <w:rFonts w:hint="eastAsia" w:ascii="黑体" w:hAnsi="黑体" w:eastAsia="黑体" w:cs="黑体"/>
          <w:b w:val="0"/>
          <w:bCs/>
          <w:sz w:val="32"/>
          <w:szCs w:val="32"/>
        </w:rPr>
        <w:t>年</w:t>
      </w:r>
      <w:r>
        <w:rPr>
          <w:rFonts w:hint="eastAsia" w:ascii="黑体" w:hAnsi="黑体" w:eastAsia="黑体" w:cs="黑体"/>
          <w:b w:val="0"/>
          <w:bCs/>
          <w:sz w:val="32"/>
          <w:szCs w:val="32"/>
          <w:lang w:val="en-US" w:eastAsia="zh-CN"/>
        </w:rPr>
        <w:t>12</w:t>
      </w:r>
      <w:r>
        <w:rPr>
          <w:rFonts w:hint="eastAsia" w:ascii="黑体" w:hAnsi="黑体" w:eastAsia="黑体" w:cs="黑体"/>
          <w:b w:val="0"/>
          <w:bCs/>
          <w:sz w:val="32"/>
          <w:szCs w:val="32"/>
        </w:rPr>
        <w:t>月</w:t>
      </w:r>
    </w:p>
    <w:p w14:paraId="21E7A589">
      <w:pPr>
        <w:spacing w:line="360" w:lineRule="auto"/>
        <w:ind w:firstLine="602" w:firstLineChars="200"/>
        <w:rPr>
          <w:rFonts w:ascii="黑体" w:hAnsi="黑体" w:eastAsia="黑体" w:cs="黑体"/>
          <w:b/>
          <w:sz w:val="30"/>
          <w:szCs w:val="30"/>
        </w:rPr>
      </w:pPr>
      <w:r>
        <w:rPr>
          <w:rFonts w:hint="eastAsia" w:ascii="黑体" w:hAnsi="黑体" w:eastAsia="黑体" w:cs="黑体"/>
          <w:b/>
          <w:sz w:val="30"/>
          <w:szCs w:val="30"/>
        </w:rPr>
        <w:t xml:space="preserve"> </w:t>
      </w:r>
      <w:r>
        <w:rPr>
          <w:rFonts w:ascii="黑体" w:hAnsi="黑体" w:eastAsia="黑体" w:cs="黑体"/>
          <w:b/>
          <w:sz w:val="30"/>
          <w:szCs w:val="30"/>
        </w:rPr>
        <w:t xml:space="preserve">                       </w:t>
      </w:r>
    </w:p>
    <w:p w14:paraId="68904558">
      <w:pPr>
        <w:jc w:val="center"/>
        <w:rPr>
          <w:rFonts w:asciiTheme="minorEastAsia" w:hAnsiTheme="minorEastAsia"/>
          <w:b/>
          <w:sz w:val="36"/>
          <w:szCs w:val="36"/>
        </w:rPr>
      </w:pPr>
    </w:p>
    <w:p w14:paraId="73361493">
      <w:pPr>
        <w:jc w:val="center"/>
        <w:rPr>
          <w:rFonts w:asciiTheme="minorEastAsia" w:hAnsiTheme="minorEastAsia"/>
          <w:b/>
          <w:sz w:val="36"/>
          <w:szCs w:val="36"/>
        </w:rPr>
      </w:pPr>
      <w:r>
        <w:rPr>
          <w:rFonts w:hint="eastAsia" w:asciiTheme="minorEastAsia" w:hAnsiTheme="minorEastAsia"/>
          <w:b/>
          <w:sz w:val="36"/>
          <w:szCs w:val="36"/>
        </w:rPr>
        <w:t>《</w:t>
      </w:r>
      <w:r>
        <w:rPr>
          <w:rFonts w:hint="eastAsia" w:asciiTheme="minorEastAsia" w:hAnsiTheme="minorEastAsia"/>
          <w:b/>
          <w:sz w:val="36"/>
          <w:szCs w:val="36"/>
          <w:lang w:val="en-US" w:eastAsia="zh-CN"/>
        </w:rPr>
        <w:t>内蒙古优势特色农畜产品品质评价管理技术规范  鲜食马铃薯</w:t>
      </w:r>
      <w:r>
        <w:rPr>
          <w:rFonts w:hint="eastAsia" w:asciiTheme="minorEastAsia" w:hAnsiTheme="minorEastAsia"/>
          <w:b/>
          <w:sz w:val="36"/>
          <w:szCs w:val="36"/>
        </w:rPr>
        <w:t>》编制说明</w:t>
      </w:r>
    </w:p>
    <w:p w14:paraId="55ED0196">
      <w:pPr>
        <w:keepNext w:val="0"/>
        <w:keepLines w:val="0"/>
        <w:pageBreakBefore w:val="0"/>
        <w:kinsoku/>
        <w:wordWrap/>
        <w:overflowPunct/>
        <w:topLinePunct w:val="0"/>
        <w:bidi w:val="0"/>
        <w:adjustRightInd/>
        <w:snapToGrid/>
        <w:ind w:firstLine="602" w:firstLineChars="200"/>
        <w:textAlignment w:val="auto"/>
        <w:rPr>
          <w:rFonts w:ascii="仿宋" w:hAnsi="仿宋" w:eastAsia="仿宋"/>
          <w:b/>
          <w:sz w:val="30"/>
          <w:szCs w:val="30"/>
        </w:rPr>
      </w:pPr>
      <w:r>
        <w:rPr>
          <w:rFonts w:hint="eastAsia" w:ascii="仿宋" w:hAnsi="仿宋" w:eastAsia="仿宋"/>
          <w:b/>
          <w:sz w:val="30"/>
          <w:szCs w:val="30"/>
        </w:rPr>
        <w:t>一、工作简况</w:t>
      </w:r>
    </w:p>
    <w:p w14:paraId="3E58EE25">
      <w:pPr>
        <w:keepNext w:val="0"/>
        <w:keepLines w:val="0"/>
        <w:pageBreakBefore w:val="0"/>
        <w:kinsoku/>
        <w:wordWrap/>
        <w:overflowPunct/>
        <w:topLinePunct w:val="0"/>
        <w:bidi w:val="0"/>
        <w:adjustRightInd/>
        <w:snapToGrid/>
        <w:spacing w:line="560" w:lineRule="exact"/>
        <w:ind w:firstLine="562" w:firstLineChars="200"/>
        <w:textAlignment w:val="auto"/>
        <w:rPr>
          <w:rFonts w:hint="default" w:ascii="仿宋" w:hAnsi="仿宋" w:eastAsia="仿宋"/>
          <w:b/>
          <w:sz w:val="28"/>
          <w:szCs w:val="28"/>
          <w:lang w:val="en-US" w:eastAsia="zh-CN"/>
        </w:rPr>
      </w:pPr>
      <w:r>
        <w:rPr>
          <w:rFonts w:hint="eastAsia" w:ascii="仿宋" w:hAnsi="仿宋" w:eastAsia="仿宋"/>
          <w:b/>
          <w:sz w:val="28"/>
          <w:szCs w:val="28"/>
        </w:rPr>
        <w:t>1、任务来源</w:t>
      </w:r>
      <w:r>
        <w:rPr>
          <w:rFonts w:hint="eastAsia" w:ascii="仿宋" w:hAnsi="仿宋" w:eastAsia="仿宋"/>
          <w:b/>
          <w:sz w:val="28"/>
          <w:szCs w:val="28"/>
          <w:lang w:val="en-US" w:eastAsia="zh-CN"/>
        </w:rPr>
        <w:t xml:space="preserve">                                                                                                                                                        </w:t>
      </w:r>
    </w:p>
    <w:p w14:paraId="00B8BB18">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sz w:val="28"/>
          <w:szCs w:val="28"/>
        </w:rPr>
      </w:pPr>
      <w:r>
        <w:rPr>
          <w:rFonts w:hint="eastAsia" w:ascii="仿宋" w:hAnsi="仿宋" w:eastAsia="仿宋"/>
          <w:sz w:val="28"/>
          <w:szCs w:val="28"/>
          <w:lang w:val="en-US" w:eastAsia="zh-CN"/>
        </w:rPr>
        <w:t>本标准根据“内蒙古标准化协会关于下达2024年第5批3项团体标准制修订项目的通知”（内标协〔2024〕017号）要求，开展标准制修订工作，计划项目名称为《内蒙古优势特色农畜产品品质评价管理技术规范  鲜食马铃薯》。本标准的提出单位为内蒙古自治区农牧厅。归口单位为</w:t>
      </w:r>
      <w:r>
        <w:rPr>
          <w:rFonts w:hint="eastAsia" w:ascii="仿宋" w:hAnsi="仿宋" w:eastAsia="仿宋" w:cstheme="minorBidi"/>
          <w:kern w:val="2"/>
          <w:sz w:val="28"/>
          <w:szCs w:val="28"/>
          <w:lang w:val="en-US" w:eastAsia="zh-CN" w:bidi="ar-SA"/>
        </w:rPr>
        <w:t>内蒙古标准化协会。</w:t>
      </w:r>
    </w:p>
    <w:p w14:paraId="70B97042">
      <w:pPr>
        <w:keepNext w:val="0"/>
        <w:keepLines w:val="0"/>
        <w:pageBreakBefore w:val="0"/>
        <w:kinsoku/>
        <w:wordWrap/>
        <w:overflowPunct/>
        <w:topLinePunct w:val="0"/>
        <w:bidi w:val="0"/>
        <w:adjustRightInd/>
        <w:snapToGrid/>
        <w:spacing w:line="560" w:lineRule="exact"/>
        <w:ind w:firstLine="562" w:firstLineChars="200"/>
        <w:textAlignment w:val="auto"/>
        <w:rPr>
          <w:rFonts w:ascii="仿宋" w:hAnsi="仿宋" w:eastAsia="仿宋"/>
          <w:b/>
          <w:sz w:val="28"/>
          <w:szCs w:val="28"/>
        </w:rPr>
      </w:pPr>
      <w:r>
        <w:rPr>
          <w:rFonts w:hint="eastAsia" w:ascii="仿宋" w:hAnsi="仿宋" w:eastAsia="仿宋"/>
          <w:b/>
          <w:sz w:val="28"/>
          <w:szCs w:val="28"/>
        </w:rPr>
        <w:t>2、起草单位及协作单位</w:t>
      </w:r>
    </w:p>
    <w:p w14:paraId="5DA7FDD1">
      <w:pPr>
        <w:keepNext w:val="0"/>
        <w:keepLines w:val="0"/>
        <w:pageBreakBefore w:val="0"/>
        <w:kinsoku/>
        <w:wordWrap/>
        <w:overflowPunct/>
        <w:topLinePunct w:val="0"/>
        <w:bidi w:val="0"/>
        <w:adjustRightInd/>
        <w:snapToGrid/>
        <w:spacing w:line="560" w:lineRule="exact"/>
        <w:ind w:firstLine="560" w:firstLineChars="200"/>
        <w:textAlignment w:val="auto"/>
        <w:rPr>
          <w:rFonts w:ascii="仿宋" w:hAnsi="仿宋" w:eastAsia="仿宋"/>
          <w:sz w:val="28"/>
          <w:szCs w:val="28"/>
        </w:rPr>
      </w:pPr>
      <w:r>
        <w:rPr>
          <w:rFonts w:hint="eastAsia" w:ascii="仿宋" w:hAnsi="仿宋" w:eastAsia="仿宋"/>
          <w:sz w:val="28"/>
          <w:szCs w:val="28"/>
        </w:rPr>
        <w:t>起草单位：</w:t>
      </w:r>
      <w:r>
        <w:rPr>
          <w:rFonts w:hint="eastAsia" w:ascii="仿宋" w:hAnsi="仿宋" w:eastAsia="仿宋"/>
          <w:sz w:val="28"/>
          <w:szCs w:val="28"/>
          <w:lang w:val="en-US" w:eastAsia="zh-CN"/>
        </w:rPr>
        <w:t>内蒙古自治区农牧厅、内蒙古自治区农畜产品质量安全中心</w:t>
      </w:r>
    </w:p>
    <w:p w14:paraId="01CD3B4D">
      <w:pPr>
        <w:keepNext w:val="0"/>
        <w:keepLines w:val="0"/>
        <w:pageBreakBefore w:val="0"/>
        <w:kinsoku/>
        <w:wordWrap/>
        <w:overflowPunct/>
        <w:topLinePunct w:val="0"/>
        <w:bidi w:val="0"/>
        <w:adjustRightInd/>
        <w:snapToGrid/>
        <w:spacing w:line="560" w:lineRule="exact"/>
        <w:ind w:firstLine="560" w:firstLineChars="200"/>
        <w:textAlignment w:val="auto"/>
        <w:rPr>
          <w:rFonts w:ascii="仿宋" w:hAnsi="仿宋" w:eastAsia="仿宋"/>
          <w:sz w:val="28"/>
          <w:szCs w:val="28"/>
        </w:rPr>
      </w:pPr>
      <w:r>
        <w:rPr>
          <w:rFonts w:hint="eastAsia" w:ascii="仿宋" w:hAnsi="仿宋" w:eastAsia="仿宋"/>
          <w:sz w:val="28"/>
          <w:szCs w:val="28"/>
        </w:rPr>
        <w:t>协作单位：</w:t>
      </w:r>
      <w:r>
        <w:rPr>
          <w:rFonts w:hint="eastAsia" w:ascii="仿宋" w:hAnsi="仿宋" w:eastAsia="仿宋"/>
          <w:sz w:val="28"/>
          <w:szCs w:val="28"/>
          <w:lang w:val="en-US" w:eastAsia="zh-CN"/>
        </w:rPr>
        <w:t>内蒙古自治区农牧业质量安全与检测研究所、乌兰察布市农畜产品质量安全中心。</w:t>
      </w:r>
    </w:p>
    <w:p w14:paraId="514D6921">
      <w:pPr>
        <w:keepNext w:val="0"/>
        <w:keepLines w:val="0"/>
        <w:pageBreakBefore w:val="0"/>
        <w:kinsoku/>
        <w:wordWrap/>
        <w:overflowPunct/>
        <w:topLinePunct w:val="0"/>
        <w:bidi w:val="0"/>
        <w:adjustRightInd/>
        <w:snapToGrid/>
        <w:spacing w:line="560" w:lineRule="exact"/>
        <w:ind w:firstLine="562" w:firstLineChars="200"/>
        <w:textAlignment w:val="auto"/>
        <w:rPr>
          <w:rFonts w:ascii="仿宋" w:hAnsi="仿宋" w:eastAsia="仿宋"/>
          <w:b/>
          <w:sz w:val="28"/>
          <w:szCs w:val="28"/>
        </w:rPr>
      </w:pPr>
      <w:r>
        <w:rPr>
          <w:rFonts w:hint="eastAsia" w:ascii="仿宋" w:hAnsi="仿宋" w:eastAsia="仿宋"/>
          <w:b/>
          <w:sz w:val="28"/>
          <w:szCs w:val="28"/>
        </w:rPr>
        <w:t>3、主要起草人</w:t>
      </w:r>
    </w:p>
    <w:p w14:paraId="14143D61">
      <w:pPr>
        <w:pStyle w:val="13"/>
        <w:keepNext w:val="0"/>
        <w:keepLines w:val="0"/>
        <w:pageBreakBefore w:val="0"/>
        <w:kinsoku/>
        <w:wordWrap/>
        <w:overflowPunct/>
        <w:topLinePunct w:val="0"/>
        <w:bidi w:val="0"/>
        <w:adjustRightInd/>
        <w:snapToGrid/>
        <w:spacing w:line="560" w:lineRule="exact"/>
        <w:ind w:firstLine="560" w:firstLineChars="200"/>
        <w:textAlignment w:val="auto"/>
        <w:rPr>
          <w:rFonts w:ascii="仿宋" w:hAnsi="仿宋" w:eastAsia="仿宋"/>
          <w:sz w:val="28"/>
          <w:szCs w:val="28"/>
        </w:rPr>
      </w:pPr>
      <w:r>
        <w:rPr>
          <w:rFonts w:hint="eastAsia" w:ascii="仿宋" w:hAnsi="仿宋" w:eastAsia="仿宋"/>
          <w:sz w:val="28"/>
          <w:szCs w:val="28"/>
        </w:rPr>
        <w:t>本标准主要起草人为：</w:t>
      </w:r>
      <w:r>
        <w:rPr>
          <w:rFonts w:hint="eastAsia" w:ascii="仿宋" w:hAnsi="仿宋" w:eastAsia="仿宋"/>
          <w:sz w:val="28"/>
          <w:szCs w:val="28"/>
          <w:lang w:val="en-US" w:eastAsia="zh-CN"/>
        </w:rPr>
        <w:t>刘佳庆、张欣昕、郝智强等。</w:t>
      </w:r>
    </w:p>
    <w:p w14:paraId="40DA5C1C">
      <w:pPr>
        <w:ind w:firstLine="562" w:firstLineChars="200"/>
        <w:jc w:val="cente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表1</w:t>
      </w:r>
      <w:r>
        <w:rPr>
          <w:rFonts w:hint="eastAsia" w:asciiTheme="majorEastAsia" w:hAnsiTheme="majorEastAsia" w:eastAsiaTheme="majorEastAsia" w:cstheme="majorEastAsia"/>
          <w:b/>
          <w:bCs/>
          <w:sz w:val="28"/>
          <w:szCs w:val="28"/>
          <w:lang w:val="en-US" w:eastAsia="zh-CN"/>
        </w:rPr>
        <w:t xml:space="preserve">  </w:t>
      </w:r>
      <w:r>
        <w:rPr>
          <w:rFonts w:hint="eastAsia" w:asciiTheme="majorEastAsia" w:hAnsiTheme="majorEastAsia" w:eastAsiaTheme="majorEastAsia" w:cstheme="majorEastAsia"/>
          <w:b/>
          <w:bCs/>
          <w:sz w:val="28"/>
          <w:szCs w:val="28"/>
        </w:rPr>
        <w:t>标准参与编写人员及其所做的工作</w:t>
      </w:r>
    </w:p>
    <w:tbl>
      <w:tblPr>
        <w:tblStyle w:val="7"/>
        <w:tblW w:w="5396" w:type="pct"/>
        <w:jc w:val="center"/>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38"/>
        <w:gridCol w:w="2355"/>
        <w:gridCol w:w="1323"/>
        <w:gridCol w:w="4081"/>
      </w:tblGrid>
      <w:tr w14:paraId="620584F7">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exact"/>
          <w:jc w:val="center"/>
        </w:trPr>
        <w:tc>
          <w:tcPr>
            <w:tcW w:w="782" w:type="pct"/>
            <w:tcBorders>
              <w:bottom w:val="single" w:color="000000" w:themeColor="text1" w:sz="6" w:space="0"/>
            </w:tcBorders>
            <w:vAlign w:val="center"/>
          </w:tcPr>
          <w:p w14:paraId="70F72E73">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姓名</w:t>
            </w:r>
          </w:p>
        </w:tc>
        <w:tc>
          <w:tcPr>
            <w:tcW w:w="1280" w:type="pct"/>
            <w:tcBorders>
              <w:bottom w:val="single" w:color="000000" w:themeColor="text1" w:sz="6" w:space="0"/>
            </w:tcBorders>
            <w:vAlign w:val="center"/>
          </w:tcPr>
          <w:p w14:paraId="155FD6CF">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工作单位</w:t>
            </w:r>
          </w:p>
        </w:tc>
        <w:tc>
          <w:tcPr>
            <w:tcW w:w="719" w:type="pct"/>
            <w:tcBorders>
              <w:bottom w:val="single" w:color="000000" w:themeColor="text1" w:sz="6" w:space="0"/>
            </w:tcBorders>
            <w:vAlign w:val="center"/>
          </w:tcPr>
          <w:p w14:paraId="2184CC37">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职称</w:t>
            </w:r>
          </w:p>
        </w:tc>
        <w:tc>
          <w:tcPr>
            <w:tcW w:w="2218" w:type="pct"/>
            <w:tcBorders>
              <w:bottom w:val="single" w:color="000000" w:themeColor="text1" w:sz="6" w:space="0"/>
            </w:tcBorders>
            <w:vAlign w:val="center"/>
          </w:tcPr>
          <w:p w14:paraId="44BA130C">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主要工作内容</w:t>
            </w:r>
          </w:p>
        </w:tc>
      </w:tr>
      <w:tr w14:paraId="2CB255FB">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exact"/>
          <w:jc w:val="center"/>
        </w:trPr>
        <w:tc>
          <w:tcPr>
            <w:tcW w:w="782" w:type="pct"/>
            <w:tcBorders>
              <w:top w:val="single" w:color="000000" w:themeColor="text1" w:sz="6" w:space="0"/>
              <w:tl2br w:val="nil"/>
              <w:tr2bl w:val="nil"/>
            </w:tcBorders>
            <w:vAlign w:val="center"/>
          </w:tcPr>
          <w:p w14:paraId="2E2F16A6">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刘佳庆</w:t>
            </w:r>
          </w:p>
        </w:tc>
        <w:tc>
          <w:tcPr>
            <w:tcW w:w="1280" w:type="pct"/>
            <w:tcBorders>
              <w:top w:val="single" w:color="000000" w:themeColor="text1" w:sz="6" w:space="0"/>
              <w:tl2br w:val="nil"/>
              <w:tr2bl w:val="nil"/>
            </w:tcBorders>
            <w:vAlign w:val="center"/>
          </w:tcPr>
          <w:p w14:paraId="50E6C1E3">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内蒙古自治区农牧厅</w:t>
            </w:r>
          </w:p>
        </w:tc>
        <w:tc>
          <w:tcPr>
            <w:tcW w:w="719" w:type="pct"/>
            <w:tcBorders>
              <w:top w:val="single" w:color="000000" w:themeColor="text1" w:sz="6" w:space="0"/>
              <w:tl2br w:val="nil"/>
              <w:tr2bl w:val="nil"/>
            </w:tcBorders>
            <w:vAlign w:val="center"/>
          </w:tcPr>
          <w:p w14:paraId="0537AC9E">
            <w:pPr>
              <w:autoSpaceDE w:val="0"/>
              <w:autoSpaceDN w:val="0"/>
              <w:spacing w:after="0"/>
              <w:contextualSpacing/>
              <w:jc w:val="center"/>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副处长</w:t>
            </w:r>
          </w:p>
        </w:tc>
        <w:tc>
          <w:tcPr>
            <w:tcW w:w="2218" w:type="pct"/>
            <w:tcBorders>
              <w:top w:val="single" w:color="000000" w:themeColor="text1" w:sz="6" w:space="0"/>
              <w:tl2br w:val="nil"/>
              <w:tr2bl w:val="nil"/>
            </w:tcBorders>
            <w:vAlign w:val="center"/>
          </w:tcPr>
          <w:p w14:paraId="751F776C">
            <w:pPr>
              <w:autoSpaceDE w:val="0"/>
              <w:autoSpaceDN w:val="0"/>
              <w:spacing w:after="0"/>
              <w:contextualSpacing/>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项目主持人，负责方案设计，标准编写、验证和修订。</w:t>
            </w:r>
          </w:p>
        </w:tc>
      </w:tr>
      <w:tr w14:paraId="7A05FC26">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exact"/>
          <w:jc w:val="center"/>
        </w:trPr>
        <w:tc>
          <w:tcPr>
            <w:tcW w:w="782" w:type="pct"/>
            <w:tcBorders>
              <w:tl2br w:val="nil"/>
              <w:tr2bl w:val="nil"/>
            </w:tcBorders>
            <w:vAlign w:val="center"/>
          </w:tcPr>
          <w:p w14:paraId="3B771A6E">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张欣昕</w:t>
            </w:r>
          </w:p>
        </w:tc>
        <w:tc>
          <w:tcPr>
            <w:tcW w:w="1280" w:type="pct"/>
            <w:tcBorders>
              <w:tl2br w:val="nil"/>
              <w:tr2bl w:val="nil"/>
            </w:tcBorders>
            <w:vAlign w:val="center"/>
          </w:tcPr>
          <w:p w14:paraId="7749CCE2">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内蒙古自</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治区农畜产品质量安全中心</w:t>
            </w:r>
          </w:p>
        </w:tc>
        <w:tc>
          <w:tcPr>
            <w:tcW w:w="719" w:type="pct"/>
            <w:tcBorders>
              <w:tl2br w:val="nil"/>
              <w:tr2bl w:val="nil"/>
            </w:tcBorders>
            <w:vAlign w:val="center"/>
          </w:tcPr>
          <w:p w14:paraId="1CA31133">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副研究员</w:t>
            </w:r>
          </w:p>
        </w:tc>
        <w:tc>
          <w:tcPr>
            <w:tcW w:w="2218" w:type="pct"/>
            <w:tcBorders>
              <w:tl2br w:val="nil"/>
              <w:tr2bl w:val="nil"/>
            </w:tcBorders>
            <w:vAlign w:val="center"/>
          </w:tcPr>
          <w:p w14:paraId="47399E40">
            <w:pPr>
              <w:spacing w:after="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主要参加人，负责标准编写、验证和修订。</w:t>
            </w:r>
          </w:p>
        </w:tc>
      </w:tr>
      <w:tr w14:paraId="31223483">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exact"/>
          <w:jc w:val="center"/>
        </w:trPr>
        <w:tc>
          <w:tcPr>
            <w:tcW w:w="782" w:type="pct"/>
            <w:tcBorders>
              <w:tl2br w:val="nil"/>
              <w:tr2bl w:val="nil"/>
            </w:tcBorders>
            <w:vAlign w:val="center"/>
          </w:tcPr>
          <w:p w14:paraId="4F385B14">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郝智强</w:t>
            </w:r>
          </w:p>
        </w:tc>
        <w:tc>
          <w:tcPr>
            <w:tcW w:w="1280" w:type="pct"/>
            <w:tcBorders>
              <w:tl2br w:val="nil"/>
              <w:tr2bl w:val="nil"/>
            </w:tcBorders>
            <w:vAlign w:val="center"/>
          </w:tcPr>
          <w:p w14:paraId="76CDA109">
            <w:pPr>
              <w:spacing w:after="0"/>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内蒙古自治区农畜产品质量安全中心</w:t>
            </w:r>
          </w:p>
        </w:tc>
        <w:tc>
          <w:tcPr>
            <w:tcW w:w="719" w:type="pct"/>
            <w:tcBorders>
              <w:tl2br w:val="nil"/>
              <w:tr2bl w:val="nil"/>
            </w:tcBorders>
            <w:vAlign w:val="center"/>
          </w:tcPr>
          <w:p w14:paraId="3BD04BB4">
            <w:pPr>
              <w:spacing w:after="0"/>
              <w:jc w:val="center"/>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畜牧师</w:t>
            </w:r>
          </w:p>
        </w:tc>
        <w:tc>
          <w:tcPr>
            <w:tcW w:w="2218" w:type="pct"/>
            <w:tcBorders>
              <w:tl2br w:val="nil"/>
              <w:tr2bl w:val="nil"/>
            </w:tcBorders>
            <w:vAlign w:val="center"/>
          </w:tcPr>
          <w:p w14:paraId="2EB67C87">
            <w:pPr>
              <w:spacing w:after="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主要参加人，参与标准的指标验证。</w:t>
            </w:r>
          </w:p>
        </w:tc>
      </w:tr>
    </w:tbl>
    <w:p w14:paraId="7F556790">
      <w:pPr>
        <w:rPr>
          <w:rFonts w:ascii="仿宋" w:hAnsi="仿宋" w:eastAsia="仿宋"/>
          <w:sz w:val="28"/>
          <w:szCs w:val="28"/>
        </w:rPr>
      </w:pPr>
    </w:p>
    <w:p w14:paraId="1712A4E4">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二、制定标准的必要性和意义</w:t>
      </w:r>
    </w:p>
    <w:p w14:paraId="15D86192">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olor w:val="FF0000"/>
          <w:sz w:val="28"/>
          <w:szCs w:val="28"/>
        </w:rPr>
      </w:pPr>
      <w:r>
        <w:rPr>
          <w:rFonts w:hint="eastAsia" w:ascii="仿宋" w:hAnsi="仿宋" w:eastAsia="仿宋" w:cs="Times New Roman"/>
          <w:kern w:val="0"/>
          <w:sz w:val="28"/>
          <w:szCs w:val="28"/>
          <w:lang w:val="en-US" w:eastAsia="zh-CN" w:bidi="ar-SA"/>
        </w:rPr>
        <w:t>马铃薯是我国继水稻、小麦和玉米之后的第四大粮食作物，在我国的西部和北部高原广泛种植，据农业农村部种植业管理司统计数据显示，内蒙古马铃薯常年种植面积占全国的9.7%，总产占全国的 8.4%，内蒙古已成为我国马铃薯 5 大主产省区之一。近年来，内蒙古已基本形成区域相对集中、各具特色的阴山沿麓和大兴安岭沿麓马铃薯产业带，乌兰察布马铃薯、武川土豆、阿荣马铃薯、固阳马铃薯和牙克石马铃薯均获得地理标志保护产品称号，</w:t>
      </w:r>
      <w:r>
        <w:rPr>
          <w:rFonts w:hint="default" w:ascii="仿宋" w:hAnsi="仿宋" w:eastAsia="仿宋" w:cs="Times New Roman"/>
          <w:kern w:val="0"/>
          <w:sz w:val="28"/>
          <w:szCs w:val="28"/>
          <w:lang w:val="en-US" w:eastAsia="zh-CN" w:bidi="ar-SA"/>
        </w:rPr>
        <w:t xml:space="preserve">2019 </w:t>
      </w:r>
      <w:r>
        <w:rPr>
          <w:rFonts w:hint="eastAsia" w:ascii="仿宋" w:hAnsi="仿宋" w:eastAsia="仿宋" w:cs="Times New Roman"/>
          <w:kern w:val="0"/>
          <w:sz w:val="28"/>
          <w:szCs w:val="28"/>
          <w:lang w:val="en-US" w:eastAsia="zh-CN" w:bidi="ar-SA"/>
        </w:rPr>
        <w:t>年察右后旗红马铃薯还入选了我国名特优新产品名录，马铃薯已经成为我区重要的经济作物，在全区农业生产中占举足轻重的地位。2020 年，自治区发布了“关于促进马铃薯产业高质量发展的实施意见”，“意见”指出：要打造知名商品薯品牌、建设国家级优势特色产业集群、提升全产业链产值，推动自治区马铃薯产业高质量发展。基于政策引领，内蒙古农牧厅连续多年开展了内蒙古马铃薯品质鉴评研究项目，总结多年的评价经验，我们已经基本形成了内蒙古马铃薯在品质评价工作中的标准化模式，即固定了评价指标、采样方法、检测方法和数据分析方法。因此，为了进一步规范品质评价过程的采样代表性、指标有效性和结果可靠性，保障评价结果的关联性和可类比性，提出了建立内蒙古优势特色鲜薯马铃薯的品质评价技术规范。拟通过品质评价技术规范的建立，以保障品质评价项目在挖掘我区产品品质优势指标、提高产品市场竞争力、推动</w:t>
      </w:r>
      <w:r>
        <w:rPr>
          <w:rFonts w:hint="default" w:ascii="仿宋" w:hAnsi="仿宋" w:eastAsia="仿宋" w:cs="Times New Roman"/>
          <w:kern w:val="0"/>
          <w:sz w:val="28"/>
          <w:szCs w:val="28"/>
          <w:lang w:val="en-US" w:eastAsia="zh-CN" w:bidi="ar-SA"/>
        </w:rPr>
        <w:t>产业增收</w:t>
      </w:r>
      <w:r>
        <w:rPr>
          <w:rFonts w:hint="eastAsia" w:ascii="仿宋" w:hAnsi="仿宋" w:eastAsia="仿宋" w:cs="Times New Roman"/>
          <w:kern w:val="0"/>
          <w:sz w:val="28"/>
          <w:szCs w:val="28"/>
          <w:lang w:val="en-US" w:eastAsia="zh-CN" w:bidi="ar-SA"/>
        </w:rPr>
        <w:t>、服务马铃薯产业高质量发展中，发挥更大的作用。进一步</w:t>
      </w:r>
      <w:r>
        <w:rPr>
          <w:rFonts w:hint="default" w:ascii="仿宋" w:hAnsi="仿宋" w:eastAsia="仿宋" w:cs="Times New Roman"/>
          <w:kern w:val="0"/>
          <w:sz w:val="28"/>
          <w:szCs w:val="28"/>
          <w:lang w:val="en-US" w:eastAsia="zh-CN" w:bidi="ar-SA"/>
        </w:rPr>
        <w:t>为</w:t>
      </w:r>
      <w:r>
        <w:rPr>
          <w:rFonts w:hint="eastAsia" w:ascii="仿宋" w:hAnsi="仿宋" w:eastAsia="仿宋" w:cs="Times New Roman"/>
          <w:kern w:val="0"/>
          <w:sz w:val="28"/>
          <w:szCs w:val="28"/>
          <w:lang w:val="en-US" w:eastAsia="zh-CN" w:bidi="ar-SA"/>
        </w:rPr>
        <w:t>内蒙古</w:t>
      </w:r>
      <w:r>
        <w:rPr>
          <w:rFonts w:hint="default" w:ascii="仿宋" w:hAnsi="仿宋" w:eastAsia="仿宋" w:cs="Times New Roman"/>
          <w:kern w:val="0"/>
          <w:sz w:val="28"/>
          <w:szCs w:val="28"/>
          <w:lang w:val="en-US" w:eastAsia="zh-CN" w:bidi="ar-SA"/>
        </w:rPr>
        <w:t>马铃薯“提升品质”、“优质优价”提供理论基础，为自治区培育 “独一份”、“特别特”、“好中优”的“土字号”、“乡字号”马铃薯品牌</w:t>
      </w:r>
      <w:r>
        <w:rPr>
          <w:rFonts w:hint="eastAsia" w:ascii="仿宋" w:hAnsi="仿宋" w:eastAsia="仿宋" w:cs="Times New Roman"/>
          <w:kern w:val="0"/>
          <w:sz w:val="28"/>
          <w:szCs w:val="28"/>
          <w:lang w:val="en-US" w:eastAsia="zh-CN" w:bidi="ar-SA"/>
        </w:rPr>
        <w:t>，</w:t>
      </w:r>
      <w:r>
        <w:rPr>
          <w:rFonts w:hint="default" w:ascii="仿宋" w:hAnsi="仿宋" w:eastAsia="仿宋" w:cs="Times New Roman"/>
          <w:kern w:val="0"/>
          <w:sz w:val="28"/>
          <w:szCs w:val="28"/>
          <w:lang w:val="en-US" w:eastAsia="zh-CN" w:bidi="ar-SA"/>
        </w:rPr>
        <w:t>讲好</w:t>
      </w:r>
      <w:r>
        <w:rPr>
          <w:rFonts w:hint="eastAsia" w:ascii="仿宋" w:hAnsi="仿宋" w:eastAsia="仿宋" w:cs="Times New Roman"/>
          <w:kern w:val="0"/>
          <w:sz w:val="28"/>
          <w:szCs w:val="28"/>
          <w:lang w:val="en-US" w:eastAsia="zh-CN" w:bidi="ar-SA"/>
        </w:rPr>
        <w:t>，</w:t>
      </w:r>
      <w:r>
        <w:rPr>
          <w:rFonts w:hint="default" w:ascii="仿宋" w:hAnsi="仿宋" w:eastAsia="仿宋" w:cs="Times New Roman"/>
          <w:kern w:val="0"/>
          <w:sz w:val="28"/>
          <w:szCs w:val="28"/>
          <w:lang w:val="en-US" w:eastAsia="zh-CN" w:bidi="ar-SA"/>
        </w:rPr>
        <w:t>特色品牌故事提供数据支撑。</w:t>
      </w:r>
    </w:p>
    <w:p w14:paraId="40AD2A57">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三、主要起草过程</w:t>
      </w:r>
    </w:p>
    <w:p w14:paraId="159DC8C4">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1、前期准备</w:t>
      </w:r>
    </w:p>
    <w:p w14:paraId="0B00BEF5">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olor w:val="FF0000"/>
          <w:sz w:val="28"/>
          <w:szCs w:val="28"/>
        </w:rPr>
      </w:pPr>
      <w:r>
        <w:rPr>
          <w:rFonts w:hint="eastAsia" w:ascii="仿宋" w:hAnsi="仿宋" w:eastAsia="仿宋" w:cs="Times New Roman"/>
          <w:kern w:val="0"/>
          <w:sz w:val="28"/>
          <w:szCs w:val="28"/>
          <w:lang w:val="en-US" w:eastAsia="zh-CN" w:bidi="ar-SA"/>
        </w:rPr>
        <w:t>2020年至2023年，内蒙古农牧厅连续多年开展了内蒙古马铃薯品质鉴评研究项目，通过项目总结发现内蒙古马铃薯连续监测的干物质、淀粉、氨基酸、矿质元素等指标含量年度结果基本稳定。整体来看，内蒙古马铃薯支链淀粉高、容易熟化，能耗低，熟化后软而黏，在氨基酸、维生素、矿质元素、挥发性风味物质的含量和组成上具有产品优势。我们已经基本形成了内蒙古马铃薯在品质评价工作中的标准化模式，即固定了评价指标、采样方法、检测方法和数据分析方法。</w:t>
      </w:r>
    </w:p>
    <w:p w14:paraId="12DC1AE1">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2、组成标准起草组，制定工作方案</w:t>
      </w:r>
    </w:p>
    <w:p w14:paraId="68DD5485">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b/>
          <w:sz w:val="28"/>
          <w:szCs w:val="28"/>
        </w:rPr>
      </w:pPr>
      <w:r>
        <w:rPr>
          <w:rFonts w:hint="eastAsia" w:ascii="仿宋" w:hAnsi="仿宋" w:eastAsia="仿宋" w:cs="Times New Roman"/>
          <w:kern w:val="0"/>
          <w:sz w:val="28"/>
          <w:szCs w:val="28"/>
          <w:lang w:val="en-US" w:eastAsia="zh-CN" w:bidi="ar-SA"/>
        </w:rPr>
        <w:t>2024年3月，由内蒙古农牧厅和内蒙古自治区农畜产品质量安全中心牵头成立标准起草小组，开展国内外相关资料的收集和整理，实施方案的确定工作，并向</w:t>
      </w:r>
      <w:r>
        <w:rPr>
          <w:rFonts w:hint="eastAsia" w:ascii="仿宋" w:hAnsi="仿宋" w:eastAsia="仿宋"/>
          <w:sz w:val="28"/>
          <w:szCs w:val="28"/>
          <w:lang w:val="en-US" w:eastAsia="zh-CN"/>
        </w:rPr>
        <w:t>内蒙古标准化协会提出立项申请。2024年8月5日，内蒙古标准化协会下达团体标准制修订项目的通知（内标协〔2024〕017号）。</w:t>
      </w:r>
    </w:p>
    <w:p w14:paraId="755E9431">
      <w:pPr>
        <w:keepNext w:val="0"/>
        <w:keepLines w:val="0"/>
        <w:pageBreakBefore w:val="0"/>
        <w:numPr>
          <w:ilvl w:val="0"/>
          <w:numId w:val="3"/>
        </w:numPr>
        <w:kinsoku/>
        <w:wordWrap/>
        <w:overflowPunct/>
        <w:topLinePunct w:val="0"/>
        <w:bidi w:val="0"/>
        <w:adjustRightInd/>
        <w:snapToGrid/>
        <w:spacing w:beforeAutospacing="0" w:afterAutospacing="0"/>
        <w:ind w:firstLine="562" w:firstLineChars="200"/>
        <w:textAlignment w:val="auto"/>
        <w:rPr>
          <w:rFonts w:hint="eastAsia" w:ascii="仿宋" w:hAnsi="仿宋" w:eastAsia="仿宋"/>
          <w:b/>
          <w:sz w:val="28"/>
          <w:szCs w:val="28"/>
        </w:rPr>
      </w:pPr>
      <w:r>
        <w:rPr>
          <w:rFonts w:hint="eastAsia" w:ascii="仿宋" w:hAnsi="仿宋" w:eastAsia="仿宋"/>
          <w:b/>
          <w:sz w:val="28"/>
          <w:szCs w:val="28"/>
        </w:rPr>
        <w:t>完善标准内容，形成标准征求意见稿</w:t>
      </w:r>
    </w:p>
    <w:p w14:paraId="761D83B2">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该项目立项后，在现有的实验基础上，又进行了大量文献查询、实地调研和样品验证工作，具体进度如下：</w:t>
      </w:r>
    </w:p>
    <w:p w14:paraId="7F9838ED">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2024年9月至10月：文献查询；</w:t>
      </w:r>
    </w:p>
    <w:p w14:paraId="3FB2D9D6">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2024年11月：实地调研和样品验证；</w:t>
      </w:r>
    </w:p>
    <w:p w14:paraId="4AF1B519">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2024年12月：起草标准及编制说明，提交内蒙古标准化协会进行初审，并按照专家意见进行修改；</w:t>
      </w:r>
    </w:p>
    <w:p w14:paraId="1E0B439E">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default" w:ascii="仿宋" w:hAnsi="仿宋" w:eastAsia="仿宋"/>
          <w:b/>
          <w:sz w:val="28"/>
          <w:szCs w:val="28"/>
          <w:lang w:val="en-US" w:eastAsia="zh-CN"/>
        </w:rPr>
      </w:pPr>
      <w:r>
        <w:rPr>
          <w:rFonts w:hint="eastAsia" w:ascii="仿宋" w:hAnsi="仿宋" w:eastAsia="仿宋"/>
          <w:sz w:val="28"/>
          <w:szCs w:val="28"/>
          <w:lang w:val="en-US" w:eastAsia="zh-CN"/>
        </w:rPr>
        <w:t>2025年1月：经内蒙古标准化协会审核并公示。</w:t>
      </w:r>
    </w:p>
    <w:p w14:paraId="1BDE6358">
      <w:pPr>
        <w:keepNext w:val="0"/>
        <w:keepLines w:val="0"/>
        <w:pageBreakBefore w:val="0"/>
        <w:widowControl w:val="0"/>
        <w:numPr>
          <w:ilvl w:val="0"/>
          <w:numId w:val="3"/>
        </w:numPr>
        <w:kinsoku/>
        <w:wordWrap/>
        <w:overflowPunct/>
        <w:topLinePunct w:val="0"/>
        <w:bidi w:val="0"/>
        <w:adjustRightInd/>
        <w:snapToGrid/>
        <w:spacing w:beforeAutospacing="0" w:afterAutospacing="0"/>
        <w:ind w:left="0" w:leftChars="0" w:firstLine="562" w:firstLineChars="200"/>
        <w:jc w:val="both"/>
        <w:textAlignment w:val="auto"/>
        <w:rPr>
          <w:rFonts w:hint="eastAsia" w:ascii="仿宋" w:hAnsi="仿宋" w:eastAsia="仿宋"/>
          <w:b/>
          <w:sz w:val="28"/>
          <w:szCs w:val="28"/>
          <w:lang w:val="en-US" w:eastAsia="zh-CN"/>
        </w:rPr>
      </w:pPr>
      <w:r>
        <w:rPr>
          <w:rFonts w:hint="eastAsia" w:ascii="仿宋" w:hAnsi="仿宋" w:eastAsia="仿宋"/>
          <w:b/>
          <w:sz w:val="28"/>
          <w:szCs w:val="28"/>
          <w:lang w:val="en-US" w:eastAsia="zh-CN"/>
        </w:rPr>
        <w:t>形成送审稿</w:t>
      </w:r>
    </w:p>
    <w:p w14:paraId="744E4ED3">
      <w:pPr>
        <w:keepNext w:val="0"/>
        <w:keepLines w:val="0"/>
        <w:pageBreakBefore w:val="0"/>
        <w:kinsoku/>
        <w:wordWrap/>
        <w:overflowPunct/>
        <w:topLinePunct w:val="0"/>
        <w:bidi w:val="0"/>
        <w:adjustRightInd/>
        <w:snapToGrid/>
        <w:spacing w:beforeAutospacing="0" w:afterAutospacing="0"/>
        <w:ind w:firstLine="560" w:firstLineChars="200"/>
        <w:textAlignment w:val="auto"/>
        <w:rPr>
          <w:rFonts w:hint="default" w:ascii="仿宋" w:hAnsi="仿宋" w:eastAsia="仿宋"/>
          <w:b/>
          <w:sz w:val="28"/>
          <w:szCs w:val="28"/>
          <w:lang w:val="en-US" w:eastAsia="zh-CN"/>
        </w:rPr>
      </w:pPr>
      <w:r>
        <w:rPr>
          <w:rFonts w:hint="eastAsia" w:ascii="仿宋" w:hAnsi="仿宋" w:eastAsia="仿宋"/>
          <w:sz w:val="28"/>
          <w:szCs w:val="28"/>
          <w:lang w:val="en-US" w:eastAsia="zh-CN"/>
        </w:rPr>
        <w:t>公示期无异议，形成送审稿，报内蒙古标准化协会准备会议审定。</w:t>
      </w:r>
    </w:p>
    <w:p w14:paraId="096BFCB7">
      <w:pPr>
        <w:keepNext w:val="0"/>
        <w:keepLines w:val="0"/>
        <w:pageBreakBefore w:val="0"/>
        <w:widowControl w:val="0"/>
        <w:numPr>
          <w:ilvl w:val="0"/>
          <w:numId w:val="0"/>
        </w:numPr>
        <w:kinsoku/>
        <w:wordWrap/>
        <w:overflowPunct/>
        <w:topLinePunct w:val="0"/>
        <w:bidi w:val="0"/>
        <w:adjustRightInd/>
        <w:snapToGrid/>
        <w:spacing w:beforeAutospacing="0" w:afterAutospacing="0"/>
        <w:ind w:firstLine="562" w:firstLineChars="200"/>
        <w:jc w:val="both"/>
        <w:textAlignment w:val="auto"/>
        <w:rPr>
          <w:rFonts w:hint="default" w:ascii="仿宋" w:hAnsi="仿宋" w:eastAsia="仿宋"/>
          <w:b/>
          <w:sz w:val="28"/>
          <w:szCs w:val="28"/>
          <w:lang w:val="en-US" w:eastAsia="zh-CN"/>
        </w:rPr>
      </w:pPr>
      <w:r>
        <w:rPr>
          <w:rFonts w:hint="eastAsia" w:ascii="仿宋" w:hAnsi="仿宋" w:eastAsia="仿宋"/>
          <w:b/>
          <w:sz w:val="28"/>
          <w:szCs w:val="28"/>
          <w:lang w:val="en-US" w:eastAsia="zh-CN"/>
        </w:rPr>
        <w:t>5、形成报批稿</w:t>
      </w:r>
    </w:p>
    <w:p w14:paraId="54E09913">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default" w:ascii="仿宋" w:hAnsi="仿宋" w:eastAsia="仿宋"/>
          <w:b/>
          <w:sz w:val="28"/>
          <w:szCs w:val="28"/>
          <w:lang w:val="en-US"/>
        </w:rPr>
      </w:pPr>
      <w:r>
        <w:rPr>
          <w:rFonts w:hint="eastAsia" w:ascii="仿宋" w:hAnsi="仿宋" w:eastAsia="仿宋"/>
          <w:sz w:val="28"/>
          <w:szCs w:val="28"/>
          <w:lang w:val="en-US" w:eastAsia="zh-CN"/>
        </w:rPr>
        <w:t>内蒙古标准化协会组织标准审定，</w:t>
      </w:r>
      <w:r>
        <w:rPr>
          <w:rFonts w:hint="eastAsia" w:ascii="仿宋" w:hAnsi="仿宋" w:eastAsia="仿宋" w:cs="Times New Roman"/>
          <w:kern w:val="0"/>
          <w:sz w:val="28"/>
          <w:szCs w:val="28"/>
          <w:lang w:val="en-US" w:eastAsia="zh-CN" w:bidi="ar-SA"/>
        </w:rPr>
        <w:t>标准起草小组</w:t>
      </w:r>
      <w:r>
        <w:rPr>
          <w:rFonts w:hint="eastAsia" w:ascii="仿宋" w:hAnsi="仿宋" w:eastAsia="仿宋"/>
          <w:sz w:val="28"/>
          <w:szCs w:val="28"/>
          <w:lang w:val="en-US" w:eastAsia="zh-CN"/>
        </w:rPr>
        <w:t>按照专家意见修改标准后，报内蒙古标准化协会，形成报批稿。</w:t>
      </w:r>
    </w:p>
    <w:p w14:paraId="3E2FA9FD">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四、制定标准的原则和依据，与现行法律、法规、标准的关系</w:t>
      </w:r>
    </w:p>
    <w:p w14:paraId="29DDFFC4">
      <w:pPr>
        <w:keepNext w:val="0"/>
        <w:keepLines w:val="0"/>
        <w:pageBreakBefore w:val="0"/>
        <w:kinsoku/>
        <w:wordWrap/>
        <w:overflowPunct/>
        <w:topLinePunct w:val="0"/>
        <w:bidi w:val="0"/>
        <w:adjustRightInd/>
        <w:snapToGrid/>
        <w:spacing w:beforeAutospacing="0" w:afterAutospacing="0" w:line="360" w:lineRule="auto"/>
        <w:ind w:firstLine="562" w:firstLineChars="200"/>
        <w:jc w:val="left"/>
        <w:textAlignment w:val="auto"/>
        <w:rPr>
          <w:rFonts w:hint="eastAsia" w:ascii="仿宋" w:hAnsi="仿宋" w:eastAsia="仿宋"/>
          <w:color w:val="FF0000"/>
          <w:sz w:val="28"/>
          <w:szCs w:val="28"/>
        </w:rPr>
      </w:pPr>
      <w:r>
        <w:rPr>
          <w:rFonts w:hint="eastAsia" w:ascii="仿宋" w:hAnsi="仿宋" w:eastAsia="仿宋" w:cs="仿宋"/>
          <w:b/>
          <w:color w:val="000000"/>
          <w:sz w:val="28"/>
          <w:szCs w:val="24"/>
        </w:rPr>
        <w:t>1、编制</w:t>
      </w:r>
      <w:r>
        <w:rPr>
          <w:rFonts w:hint="eastAsia" w:ascii="仿宋" w:hAnsi="仿宋" w:eastAsia="仿宋" w:cs="仿宋"/>
          <w:b/>
          <w:sz w:val="28"/>
          <w:szCs w:val="24"/>
        </w:rPr>
        <w:t>原则</w:t>
      </w:r>
    </w:p>
    <w:p w14:paraId="4486B25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本标准以《内蒙古马铃薯品质评鉴总结报告》（2020年至2023年）研究结论为基础，以相关品质评价标准为科学性指导，明确提出了马铃薯品质评价管理技术规范的</w:t>
      </w:r>
      <w:r>
        <w:rPr>
          <w:rFonts w:hint="eastAsia" w:ascii="仿宋" w:hAnsi="仿宋" w:eastAsia="仿宋" w:cstheme="minorBidi"/>
          <w:kern w:val="2"/>
          <w:sz w:val="28"/>
          <w:szCs w:val="28"/>
          <w:lang w:val="en-US" w:eastAsia="zh-CN" w:bidi="ar-SA"/>
        </w:rPr>
        <w:t>样品准备、评价指标、检测方法、评价方法和结果质量控制要求，其指标具体、方法明确，实用性和可操作性强。在指标筛选时，主要侧重内蒙古马铃薯优势指标，指标针对性强，重点突出，经济适用。</w:t>
      </w:r>
    </w:p>
    <w:p w14:paraId="7C836154">
      <w:pPr>
        <w:keepNext w:val="0"/>
        <w:keepLines w:val="0"/>
        <w:pageBreakBefore w:val="0"/>
        <w:kinsoku/>
        <w:wordWrap/>
        <w:overflowPunct/>
        <w:topLinePunct w:val="0"/>
        <w:bidi w:val="0"/>
        <w:adjustRightInd/>
        <w:snapToGrid/>
        <w:spacing w:beforeAutospacing="0" w:afterAutospacing="0" w:line="360" w:lineRule="auto"/>
        <w:ind w:firstLine="562" w:firstLineChars="200"/>
        <w:textAlignment w:val="auto"/>
        <w:rPr>
          <w:rFonts w:ascii="仿宋" w:hAnsi="仿宋" w:eastAsia="仿宋" w:cs="仿宋"/>
          <w:b/>
          <w:sz w:val="28"/>
          <w:szCs w:val="24"/>
        </w:rPr>
      </w:pPr>
      <w:r>
        <w:rPr>
          <w:rFonts w:hint="eastAsia" w:ascii="仿宋" w:hAnsi="仿宋" w:eastAsia="仿宋" w:cs="仿宋"/>
          <w:b/>
          <w:sz w:val="28"/>
          <w:szCs w:val="24"/>
        </w:rPr>
        <w:t>2、编制依据</w:t>
      </w:r>
    </w:p>
    <w:p w14:paraId="46261D0D">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本标准的编制依据按照《标准化工作导则 第1部分：标准化文件的结构和起草规则》（GB/T 1.1－2020）给出的规则起草。</w:t>
      </w:r>
    </w:p>
    <w:p w14:paraId="7209B2AE">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本标准的技术依据主要有《“乌兰察布马铃薯”鲜食薯质量标准》、《内蒙古马铃薯品质评鉴总结报告》（2020年至2023年）。这些内容为本标准的制订提供相关理论支持，使本标准具有较强的科学性、先进性、可靠性和可操作性。基于上述标准和参考文献确定本标准具体技术内容。根据这些相关标准评价指标和指标值，结合品质评鉴工作中的数据结果明确本标准的指标类型、范围和要求。</w:t>
      </w:r>
    </w:p>
    <w:p w14:paraId="6EBC992B">
      <w:pPr>
        <w:keepNext w:val="0"/>
        <w:keepLines w:val="0"/>
        <w:pageBreakBefore w:val="0"/>
        <w:kinsoku/>
        <w:wordWrap/>
        <w:overflowPunct/>
        <w:topLinePunct w:val="0"/>
        <w:bidi w:val="0"/>
        <w:adjustRightInd/>
        <w:snapToGrid/>
        <w:spacing w:beforeAutospacing="0" w:afterAutospacing="0" w:line="440" w:lineRule="exact"/>
        <w:ind w:firstLine="562" w:firstLineChars="200"/>
        <w:textAlignment w:val="auto"/>
        <w:rPr>
          <w:rFonts w:ascii="仿宋" w:hAnsi="仿宋" w:eastAsia="仿宋" w:cs="仿宋"/>
          <w:b/>
          <w:sz w:val="28"/>
          <w:szCs w:val="24"/>
        </w:rPr>
      </w:pPr>
      <w:r>
        <w:rPr>
          <w:rFonts w:hint="eastAsia" w:ascii="仿宋" w:hAnsi="仿宋" w:eastAsia="仿宋" w:cs="仿宋"/>
          <w:b/>
          <w:sz w:val="28"/>
          <w:szCs w:val="24"/>
        </w:rPr>
        <w:t>3、与现行法律、法规、标准的关系</w:t>
      </w:r>
    </w:p>
    <w:p w14:paraId="71577236">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本标准在编制过程中，没有出现与现行有关法律、法规和国家、行业、地方标准相违背的情况。</w:t>
      </w:r>
    </w:p>
    <w:p w14:paraId="3887ADD8">
      <w:pPr>
        <w:keepNext w:val="0"/>
        <w:keepLines w:val="0"/>
        <w:pageBreakBefore w:val="0"/>
        <w:kinsoku/>
        <w:wordWrap/>
        <w:overflowPunct/>
        <w:topLinePunct w:val="0"/>
        <w:bidi w:val="0"/>
        <w:adjustRightInd/>
        <w:snapToGrid/>
        <w:spacing w:beforeAutospacing="0" w:afterAutospacing="0" w:line="440" w:lineRule="exact"/>
        <w:ind w:firstLine="562" w:firstLineChars="200"/>
        <w:textAlignment w:val="auto"/>
        <w:rPr>
          <w:rFonts w:ascii="仿宋" w:hAnsi="仿宋" w:eastAsia="仿宋" w:cs="仿宋"/>
          <w:b/>
          <w:sz w:val="28"/>
          <w:szCs w:val="24"/>
        </w:rPr>
      </w:pPr>
      <w:r>
        <w:rPr>
          <w:rFonts w:hint="eastAsia" w:ascii="仿宋" w:hAnsi="仿宋" w:eastAsia="仿宋" w:cs="仿宋"/>
          <w:b/>
          <w:sz w:val="28"/>
          <w:szCs w:val="24"/>
        </w:rPr>
        <w:t>4、与现行相关标准的联系</w:t>
      </w:r>
    </w:p>
    <w:p w14:paraId="09746621">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与该标准相关的标准主要有《“乌兰察布马铃薯”鲜食薯质量标准》（DB15/T 1719），本标准主要参考了其分级指标值。</w:t>
      </w:r>
    </w:p>
    <w:p w14:paraId="2986F6A7">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五、主要条款的说明，主要技术指标、参数、试验验证的论述</w:t>
      </w:r>
    </w:p>
    <w:p w14:paraId="79188F26">
      <w:pPr>
        <w:keepNext w:val="0"/>
        <w:keepLines w:val="0"/>
        <w:pageBreakBefore w:val="0"/>
        <w:kinsoku/>
        <w:wordWrap/>
        <w:overflowPunct/>
        <w:topLinePunct w:val="0"/>
        <w:bidi w:val="0"/>
        <w:adjustRightInd/>
        <w:snapToGrid w:val="0"/>
        <w:spacing w:beforeAutospacing="0" w:afterAutospacing="0" w:line="560" w:lineRule="exact"/>
        <w:ind w:firstLine="562" w:firstLineChars="200"/>
        <w:textAlignment w:val="auto"/>
        <w:rPr>
          <w:rFonts w:hint="eastAsia" w:ascii="仿宋" w:hAnsi="仿宋" w:eastAsia="仿宋"/>
          <w:b/>
          <w:sz w:val="28"/>
          <w:szCs w:val="28"/>
        </w:rPr>
      </w:pPr>
      <w:r>
        <w:rPr>
          <w:rFonts w:hint="eastAsia" w:ascii="仿宋" w:hAnsi="仿宋" w:eastAsia="仿宋"/>
          <w:b/>
          <w:sz w:val="28"/>
          <w:szCs w:val="28"/>
        </w:rPr>
        <w:t>1、主要条款说明</w:t>
      </w:r>
    </w:p>
    <w:p w14:paraId="110DC150">
      <w:pPr>
        <w:keepNext w:val="0"/>
        <w:keepLines w:val="0"/>
        <w:pageBreakBefore w:val="0"/>
        <w:kinsoku/>
        <w:wordWrap/>
        <w:overflowPunct/>
        <w:topLinePunct w:val="0"/>
        <w:bidi w:val="0"/>
        <w:adjustRightInd/>
        <w:snapToGrid w:val="0"/>
        <w:spacing w:beforeAutospacing="0" w:afterAutospacing="0" w:line="560" w:lineRule="exact"/>
        <w:ind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本标准主要包含的章节条款有范围、规范性引用文件、术语和定义、样品准备、评价指标、检测方法、评价方法、评价报告要求、质量控制和附录。</w:t>
      </w:r>
    </w:p>
    <w:p w14:paraId="47164288">
      <w:pPr>
        <w:keepNext w:val="0"/>
        <w:keepLines w:val="0"/>
        <w:pageBreakBefore w:val="0"/>
        <w:kinsoku/>
        <w:wordWrap/>
        <w:overflowPunct/>
        <w:topLinePunct w:val="0"/>
        <w:bidi w:val="0"/>
        <w:adjustRightInd/>
        <w:snapToGrid w:val="0"/>
        <w:spacing w:beforeAutospacing="0" w:afterAutospacing="0" w:line="560" w:lineRule="exact"/>
        <w:ind w:firstLine="562" w:firstLineChars="200"/>
        <w:textAlignment w:val="auto"/>
        <w:rPr>
          <w:rFonts w:hint="eastAsia" w:ascii="仿宋" w:hAnsi="仿宋" w:eastAsia="仿宋"/>
          <w:b/>
          <w:sz w:val="28"/>
          <w:szCs w:val="28"/>
        </w:rPr>
      </w:pPr>
      <w:r>
        <w:rPr>
          <w:rFonts w:hint="eastAsia" w:ascii="仿宋" w:hAnsi="仿宋" w:eastAsia="仿宋"/>
          <w:b/>
          <w:sz w:val="28"/>
          <w:szCs w:val="28"/>
        </w:rPr>
        <w:t>2、主要技术指标、参数、试验论证的论述</w:t>
      </w:r>
    </w:p>
    <w:p w14:paraId="4ECA47D5">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2" w:firstLineChars="200"/>
        <w:textAlignment w:val="auto"/>
        <w:rPr>
          <w:rFonts w:hint="eastAsia" w:ascii="仿宋" w:hAnsi="仿宋" w:eastAsia="仿宋"/>
          <w:b/>
          <w:bCs/>
          <w:color w:val="FF0000"/>
          <w:sz w:val="28"/>
          <w:szCs w:val="28"/>
        </w:rPr>
      </w:pPr>
      <w:r>
        <w:rPr>
          <w:rFonts w:hint="eastAsia" w:ascii="仿宋" w:hAnsi="仿宋" w:eastAsia="仿宋" w:cs="Times New Roman"/>
          <w:b/>
          <w:bCs/>
          <w:kern w:val="0"/>
          <w:sz w:val="28"/>
          <w:szCs w:val="28"/>
          <w:lang w:val="en-US" w:eastAsia="zh-CN" w:bidi="ar-SA"/>
        </w:rPr>
        <w:t>2.1范围的确定</w:t>
      </w:r>
    </w:p>
    <w:p w14:paraId="48D95796">
      <w:pPr>
        <w:pStyle w:val="11"/>
        <w:keepNext w:val="0"/>
        <w:keepLines w:val="0"/>
        <w:pageBreakBefore w:val="0"/>
        <w:kinsoku/>
        <w:wordWrap/>
        <w:overflowPunct/>
        <w:topLinePunct w:val="0"/>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本文件规定了内蒙古优势特色的鲜食马铃薯产品品质评价的样品准备、评价指标、检测方法、评价方法和质量控制要求。</w:t>
      </w:r>
    </w:p>
    <w:p w14:paraId="6943C9A4">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2" w:firstLineChars="200"/>
        <w:textAlignment w:val="auto"/>
        <w:rPr>
          <w:rFonts w:hint="eastAsia"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2.2规范性引用文件的确定</w:t>
      </w:r>
    </w:p>
    <w:p w14:paraId="5DD4E92E">
      <w:pPr>
        <w:pStyle w:val="11"/>
        <w:keepNext w:val="0"/>
        <w:keepLines w:val="0"/>
        <w:pageBreakBefore w:val="0"/>
        <w:kinsoku/>
        <w:wordWrap/>
        <w:overflowPunct/>
        <w:topLinePunct w:val="0"/>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规范性引用文件按照用途主要分为指标检测标准、数据统计和指标评价标准。检测标准主要用于评价指标的检测，包括 《食品安全国家标准 食品中水分的测定》、《食品安全国家标准 食品中蛋白质的测定》、《食品安全国家标准 食品中还原糖的测定》、《食品安全国家标准 食品中淀粉的测定》、《食品安全国家标准 食品中抗坏血酸的测定》、《食品安全国家标准 食品中膳食纤维的测定》、《食品安全国家标准 食品中氨基酸的测定》和《食品安全国家标准 食品中多元素的测定》等。数据统计标准主要用于规范数据结果的统计，包括《数据的统计处理和解释 正态样本离群值的判断和处理》和 《数据的统计处理和解释 正态分布均值和方差的估计与检验》。评价标准主要为了对标已有的评价指标和指标值，主要是《“乌兰察布马铃薯”鲜食薯质量标准》。</w:t>
      </w:r>
    </w:p>
    <w:p w14:paraId="149DFD1C">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2" w:firstLineChars="200"/>
        <w:textAlignment w:val="auto"/>
        <w:rPr>
          <w:rFonts w:hint="eastAsia"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2.3样品准备要求的确定</w:t>
      </w:r>
    </w:p>
    <w:p w14:paraId="6DA1332F">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样品准备要求主要根据通用农产品抽样规范制定，分为基地样品抽取和流通领域样品抽取。在品种上以内蒙古种植的稳定性良好的主要代表品种，规定了主要品种不宜多于3种。在抽样要求上规定了样品的真实性、代表性以及信息的完整性。在样品保存上，根据评价指标对应检测标准要求，提出了样品制备、样品量和保存条件的要求。具体制备要求和保存条件如表2所示。</w:t>
      </w:r>
    </w:p>
    <w:p w14:paraId="57768362">
      <w:pPr>
        <w:keepNext w:val="0"/>
        <w:keepLines w:val="0"/>
        <w:pageBreakBefore w:val="0"/>
        <w:kinsoku/>
        <w:wordWrap/>
        <w:overflowPunct/>
        <w:topLinePunct w:val="0"/>
        <w:bidi w:val="0"/>
        <w:adjustRightInd/>
        <w:snapToGrid/>
        <w:spacing w:beforeAutospacing="0" w:afterAutospacing="0"/>
        <w:ind w:firstLine="482" w:firstLineChars="200"/>
        <w:jc w:val="center"/>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4"/>
          <w:szCs w:val="24"/>
        </w:rPr>
        <w:t>表</w:t>
      </w:r>
      <w:r>
        <w:rPr>
          <w:rFonts w:hint="eastAsia" w:asciiTheme="minorEastAsia" w:hAnsiTheme="minorEastAsia" w:eastAsiaTheme="minorEastAsia" w:cstheme="minorEastAsia"/>
          <w:b/>
          <w:bCs/>
          <w:sz w:val="24"/>
          <w:szCs w:val="24"/>
          <w:lang w:val="en-US" w:eastAsia="zh-CN"/>
        </w:rPr>
        <w:t>2</w:t>
      </w:r>
      <w:r>
        <w:rPr>
          <w:rFonts w:hint="eastAsia" w:asciiTheme="minorEastAsia" w:hAnsiTheme="minorEastAsia" w:eastAsiaTheme="minorEastAsia" w:cstheme="minorEastAsia"/>
          <w:b/>
          <w:bCs/>
          <w:sz w:val="24"/>
          <w:szCs w:val="24"/>
        </w:rPr>
        <w:t xml:space="preserve"> </w:t>
      </w:r>
      <w:r>
        <w:rPr>
          <w:rFonts w:hint="eastAsia" w:asciiTheme="minorEastAsia" w:hAnsiTheme="minorEastAsia" w:eastAsiaTheme="minorEastAsia" w:cstheme="minorEastAsia"/>
          <w:b/>
          <w:bCs/>
          <w:sz w:val="24"/>
          <w:szCs w:val="24"/>
          <w:lang w:val="en-US" w:eastAsia="zh-CN"/>
        </w:rPr>
        <w:t xml:space="preserve"> 马铃薯样品制备和保存条件的要求</w:t>
      </w:r>
    </w:p>
    <w:tbl>
      <w:tblPr>
        <w:tblStyle w:val="6"/>
        <w:tblW w:w="5583" w:type="pct"/>
        <w:jc w:val="center"/>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48"/>
        <w:gridCol w:w="3649"/>
        <w:gridCol w:w="3419"/>
      </w:tblGrid>
      <w:tr w14:paraId="2480604B">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1286" w:type="pct"/>
            <w:tcBorders>
              <w:bottom w:val="single" w:color="000000" w:sz="4" w:space="0"/>
            </w:tcBorders>
            <w:shd w:val="clear" w:color="auto" w:fill="auto"/>
            <w:vAlign w:val="center"/>
          </w:tcPr>
          <w:p w14:paraId="1A9A7709">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检测项目</w:t>
            </w:r>
          </w:p>
        </w:tc>
        <w:tc>
          <w:tcPr>
            <w:tcW w:w="1917" w:type="pct"/>
            <w:tcBorders>
              <w:bottom w:val="single" w:color="000000" w:sz="4" w:space="0"/>
            </w:tcBorders>
            <w:shd w:val="clear" w:color="auto" w:fill="auto"/>
            <w:vAlign w:val="center"/>
          </w:tcPr>
          <w:p w14:paraId="7740D3FE">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样品制备要求</w:t>
            </w:r>
          </w:p>
        </w:tc>
        <w:tc>
          <w:tcPr>
            <w:tcW w:w="1796" w:type="pct"/>
            <w:tcBorders>
              <w:bottom w:val="single" w:color="000000" w:sz="4" w:space="0"/>
            </w:tcBorders>
            <w:shd w:val="clear" w:color="auto" w:fill="auto"/>
            <w:vAlign w:val="center"/>
          </w:tcPr>
          <w:p w14:paraId="13F8FA04">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保存条件</w:t>
            </w:r>
          </w:p>
        </w:tc>
      </w:tr>
      <w:tr w14:paraId="14C512AC">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1286" w:type="pct"/>
            <w:tcBorders>
              <w:top w:val="single" w:color="000000" w:sz="4" w:space="0"/>
              <w:tl2br w:val="nil"/>
              <w:tr2bl w:val="nil"/>
            </w:tcBorders>
            <w:shd w:val="clear" w:color="auto" w:fill="auto"/>
            <w:vAlign w:val="center"/>
          </w:tcPr>
          <w:p w14:paraId="098F3FCE">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ar-SA"/>
              </w:rPr>
              <w:t>干物质</w:t>
            </w:r>
          </w:p>
        </w:tc>
        <w:tc>
          <w:tcPr>
            <w:tcW w:w="1917" w:type="pct"/>
            <w:tcBorders>
              <w:top w:val="single" w:color="000000" w:sz="4" w:space="0"/>
              <w:tl2br w:val="nil"/>
              <w:tr2bl w:val="nil"/>
            </w:tcBorders>
            <w:shd w:val="clear" w:color="auto" w:fill="auto"/>
            <w:vAlign w:val="center"/>
          </w:tcPr>
          <w:p w14:paraId="5D1F8754">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匀浆处理</w:t>
            </w:r>
          </w:p>
        </w:tc>
        <w:tc>
          <w:tcPr>
            <w:tcW w:w="1796" w:type="pct"/>
            <w:tcBorders>
              <w:top w:val="single" w:color="000000" w:sz="4" w:space="0"/>
              <w:tl2br w:val="nil"/>
              <w:tr2bl w:val="nil"/>
            </w:tcBorders>
            <w:shd w:val="clear" w:color="auto" w:fill="auto"/>
            <w:vAlign w:val="center"/>
          </w:tcPr>
          <w:p w14:paraId="5A850664">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kern w:val="0"/>
                <w:sz w:val="21"/>
                <w:szCs w:val="21"/>
                <w:lang w:val="en-US" w:eastAsia="zh-CN" w:bidi="ar-SA"/>
              </w:rPr>
              <w:t>4℃冷藏避光密封保存。</w:t>
            </w:r>
          </w:p>
        </w:tc>
      </w:tr>
      <w:tr w14:paraId="1AA98DBF">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1286" w:type="pct"/>
            <w:tcBorders>
              <w:tl2br w:val="nil"/>
              <w:tr2bl w:val="nil"/>
            </w:tcBorders>
            <w:shd w:val="clear" w:color="auto" w:fill="auto"/>
            <w:vAlign w:val="center"/>
          </w:tcPr>
          <w:p w14:paraId="2E34FB24">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淀粉</w:t>
            </w:r>
          </w:p>
        </w:tc>
        <w:tc>
          <w:tcPr>
            <w:tcW w:w="1917" w:type="pct"/>
            <w:tcBorders>
              <w:tl2br w:val="nil"/>
              <w:tr2bl w:val="nil"/>
            </w:tcBorders>
            <w:shd w:val="clear" w:color="auto" w:fill="auto"/>
            <w:vAlign w:val="center"/>
          </w:tcPr>
          <w:p w14:paraId="09AC7D80">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匀浆处理</w:t>
            </w:r>
          </w:p>
        </w:tc>
        <w:tc>
          <w:tcPr>
            <w:tcW w:w="1796" w:type="pct"/>
            <w:tcBorders>
              <w:tl2br w:val="nil"/>
              <w:tr2bl w:val="nil"/>
            </w:tcBorders>
            <w:shd w:val="clear" w:color="auto" w:fill="auto"/>
            <w:vAlign w:val="center"/>
          </w:tcPr>
          <w:p w14:paraId="211336AF">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kern w:val="0"/>
                <w:sz w:val="21"/>
                <w:szCs w:val="21"/>
                <w:lang w:val="en-US" w:eastAsia="zh-CN" w:bidi="ar-SA"/>
              </w:rPr>
              <w:t>4℃冷藏避光密封保存。</w:t>
            </w:r>
          </w:p>
        </w:tc>
      </w:tr>
      <w:tr w14:paraId="36F1740B">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1286" w:type="pct"/>
            <w:tcBorders>
              <w:tl2br w:val="nil"/>
              <w:tr2bl w:val="nil"/>
            </w:tcBorders>
            <w:shd w:val="clear" w:color="auto" w:fill="auto"/>
            <w:vAlign w:val="center"/>
          </w:tcPr>
          <w:p w14:paraId="49B35546">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蛋白质</w:t>
            </w:r>
          </w:p>
        </w:tc>
        <w:tc>
          <w:tcPr>
            <w:tcW w:w="1917" w:type="pct"/>
            <w:tcBorders>
              <w:tl2br w:val="nil"/>
              <w:tr2bl w:val="nil"/>
            </w:tcBorders>
            <w:shd w:val="clear" w:color="auto" w:fill="auto"/>
            <w:vAlign w:val="center"/>
          </w:tcPr>
          <w:p w14:paraId="061342D5">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匀浆处理</w:t>
            </w:r>
          </w:p>
        </w:tc>
        <w:tc>
          <w:tcPr>
            <w:tcW w:w="1796" w:type="pct"/>
            <w:tcBorders>
              <w:tl2br w:val="nil"/>
              <w:tr2bl w:val="nil"/>
            </w:tcBorders>
            <w:shd w:val="clear" w:color="auto" w:fill="auto"/>
            <w:vAlign w:val="center"/>
          </w:tcPr>
          <w:p w14:paraId="6B425D3B">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kern w:val="0"/>
                <w:sz w:val="21"/>
                <w:szCs w:val="21"/>
                <w:lang w:val="en-US" w:eastAsia="zh-CN" w:bidi="ar-SA"/>
              </w:rPr>
              <w:t>4℃冷藏避光密封保存。</w:t>
            </w:r>
          </w:p>
        </w:tc>
      </w:tr>
      <w:tr w14:paraId="1813EDD6">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1286" w:type="pct"/>
            <w:tcBorders>
              <w:tl2br w:val="nil"/>
              <w:tr2bl w:val="nil"/>
            </w:tcBorders>
            <w:shd w:val="clear" w:color="auto" w:fill="auto"/>
            <w:vAlign w:val="center"/>
          </w:tcPr>
          <w:p w14:paraId="146F2068">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还原糖</w:t>
            </w:r>
          </w:p>
        </w:tc>
        <w:tc>
          <w:tcPr>
            <w:tcW w:w="1917" w:type="pct"/>
            <w:tcBorders>
              <w:tl2br w:val="nil"/>
              <w:tr2bl w:val="nil"/>
            </w:tcBorders>
            <w:shd w:val="clear" w:color="auto" w:fill="auto"/>
            <w:vAlign w:val="center"/>
          </w:tcPr>
          <w:p w14:paraId="76D33AD9">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匀浆处理</w:t>
            </w:r>
          </w:p>
        </w:tc>
        <w:tc>
          <w:tcPr>
            <w:tcW w:w="1796" w:type="pct"/>
            <w:tcBorders>
              <w:tl2br w:val="nil"/>
              <w:tr2bl w:val="nil"/>
            </w:tcBorders>
            <w:shd w:val="clear" w:color="auto" w:fill="auto"/>
            <w:vAlign w:val="center"/>
          </w:tcPr>
          <w:p w14:paraId="26A391E1">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kern w:val="0"/>
                <w:sz w:val="21"/>
                <w:szCs w:val="21"/>
                <w:lang w:val="en-US" w:eastAsia="zh-CN" w:bidi="ar-SA"/>
              </w:rPr>
            </w:pPr>
            <w:r>
              <w:rPr>
                <w:rFonts w:hint="eastAsia" w:ascii="宋体" w:hAnsi="宋体" w:eastAsia="宋体" w:cs="宋体"/>
                <w:sz w:val="21"/>
                <w:szCs w:val="21"/>
                <w:lang w:val="en-US" w:eastAsia="zh-CN"/>
              </w:rPr>
              <w:t>立即测定。</w:t>
            </w:r>
          </w:p>
        </w:tc>
      </w:tr>
      <w:tr w14:paraId="5A16FAC2">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86" w:type="pct"/>
            <w:tcBorders>
              <w:tl2br w:val="nil"/>
              <w:tr2bl w:val="nil"/>
            </w:tcBorders>
            <w:shd w:val="clear" w:color="auto" w:fill="auto"/>
            <w:vAlign w:val="center"/>
          </w:tcPr>
          <w:p w14:paraId="3BD0A2F4">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维生素C</w:t>
            </w:r>
          </w:p>
        </w:tc>
        <w:tc>
          <w:tcPr>
            <w:tcW w:w="1917" w:type="pct"/>
            <w:tcBorders>
              <w:tl2br w:val="nil"/>
              <w:tr2bl w:val="nil"/>
            </w:tcBorders>
            <w:shd w:val="clear" w:color="auto" w:fill="auto"/>
            <w:vAlign w:val="center"/>
          </w:tcPr>
          <w:p w14:paraId="276FBBE4">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匀浆处理</w:t>
            </w:r>
          </w:p>
        </w:tc>
        <w:tc>
          <w:tcPr>
            <w:tcW w:w="1796" w:type="pct"/>
            <w:tcBorders>
              <w:tl2br w:val="nil"/>
              <w:tr2bl w:val="nil"/>
            </w:tcBorders>
            <w:shd w:val="clear" w:color="auto" w:fill="auto"/>
            <w:vAlign w:val="center"/>
          </w:tcPr>
          <w:p w14:paraId="7DAD8169">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立即测定。</w:t>
            </w:r>
          </w:p>
        </w:tc>
      </w:tr>
      <w:tr w14:paraId="61C9AE27">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1286" w:type="pct"/>
            <w:tcBorders>
              <w:tl2br w:val="nil"/>
              <w:tr2bl w:val="nil"/>
            </w:tcBorders>
            <w:shd w:val="clear" w:color="auto" w:fill="auto"/>
            <w:vAlign w:val="center"/>
          </w:tcPr>
          <w:p w14:paraId="33C1DAE8">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膳食纤维</w:t>
            </w:r>
          </w:p>
        </w:tc>
        <w:tc>
          <w:tcPr>
            <w:tcW w:w="1917" w:type="pct"/>
            <w:tcBorders>
              <w:tl2br w:val="nil"/>
              <w:tr2bl w:val="nil"/>
            </w:tcBorders>
            <w:shd w:val="clear" w:color="auto" w:fill="auto"/>
            <w:vAlign w:val="center"/>
          </w:tcPr>
          <w:p w14:paraId="616B7141">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匀浆处理后，脱水（105±2℃烘箱干燥4小时）</w:t>
            </w:r>
          </w:p>
        </w:tc>
        <w:tc>
          <w:tcPr>
            <w:tcW w:w="1796" w:type="pct"/>
            <w:tcBorders>
              <w:tl2br w:val="nil"/>
              <w:tr2bl w:val="nil"/>
            </w:tcBorders>
            <w:shd w:val="clear" w:color="auto" w:fill="auto"/>
            <w:vAlign w:val="center"/>
          </w:tcPr>
          <w:p w14:paraId="02B23CFE">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脱水后置于干燥器中保存。</w:t>
            </w:r>
          </w:p>
        </w:tc>
      </w:tr>
      <w:tr w14:paraId="47B54CF5">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1286" w:type="pct"/>
            <w:tcBorders>
              <w:tl2br w:val="nil"/>
              <w:tr2bl w:val="nil"/>
            </w:tcBorders>
            <w:shd w:val="clear" w:color="auto" w:fill="auto"/>
            <w:vAlign w:val="center"/>
          </w:tcPr>
          <w:p w14:paraId="6617F7D7">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锌、铁、钾等矿质元素</w:t>
            </w:r>
          </w:p>
        </w:tc>
        <w:tc>
          <w:tcPr>
            <w:tcW w:w="1917" w:type="pct"/>
            <w:tcBorders>
              <w:tl2br w:val="nil"/>
              <w:tr2bl w:val="nil"/>
            </w:tcBorders>
            <w:shd w:val="clear" w:color="auto" w:fill="auto"/>
            <w:vAlign w:val="center"/>
          </w:tcPr>
          <w:p w14:paraId="51A39243">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匀浆处理</w:t>
            </w:r>
          </w:p>
        </w:tc>
        <w:tc>
          <w:tcPr>
            <w:tcW w:w="1796" w:type="pct"/>
            <w:tcBorders>
              <w:tl2br w:val="nil"/>
              <w:tr2bl w:val="nil"/>
            </w:tcBorders>
            <w:shd w:val="clear" w:color="auto" w:fill="auto"/>
            <w:vAlign w:val="center"/>
          </w:tcPr>
          <w:p w14:paraId="7E34CB9D">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kern w:val="0"/>
                <w:sz w:val="21"/>
                <w:szCs w:val="21"/>
                <w:lang w:val="en-US" w:eastAsia="zh-CN" w:bidi="ar-SA"/>
              </w:rPr>
              <w:t>4℃冷藏避光密封保存。</w:t>
            </w:r>
          </w:p>
        </w:tc>
      </w:tr>
      <w:tr w14:paraId="782DB53D">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1286" w:type="pct"/>
            <w:tcBorders>
              <w:tl2br w:val="nil"/>
              <w:tr2bl w:val="nil"/>
            </w:tcBorders>
            <w:shd w:val="clear" w:color="auto" w:fill="auto"/>
            <w:vAlign w:val="center"/>
          </w:tcPr>
          <w:p w14:paraId="60C95105">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呈味氨基酸总量</w:t>
            </w:r>
          </w:p>
        </w:tc>
        <w:tc>
          <w:tcPr>
            <w:tcW w:w="1917" w:type="pct"/>
            <w:tcBorders>
              <w:tl2br w:val="nil"/>
              <w:tr2bl w:val="nil"/>
            </w:tcBorders>
            <w:shd w:val="clear" w:color="auto" w:fill="auto"/>
            <w:vAlign w:val="center"/>
          </w:tcPr>
          <w:p w14:paraId="2CCAB7CE">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匀浆处理</w:t>
            </w:r>
          </w:p>
        </w:tc>
        <w:tc>
          <w:tcPr>
            <w:tcW w:w="1796" w:type="pct"/>
            <w:tcBorders>
              <w:tl2br w:val="nil"/>
              <w:tr2bl w:val="nil"/>
            </w:tcBorders>
            <w:shd w:val="clear" w:color="auto" w:fill="auto"/>
            <w:vAlign w:val="center"/>
          </w:tcPr>
          <w:p w14:paraId="5350D6A1">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4℃冷藏避光密封保存。</w:t>
            </w:r>
          </w:p>
        </w:tc>
      </w:tr>
      <w:tr w14:paraId="332CB18E">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286" w:type="pct"/>
            <w:tcBorders>
              <w:tl2br w:val="nil"/>
              <w:tr2bl w:val="nil"/>
            </w:tcBorders>
            <w:shd w:val="clear" w:color="auto" w:fill="auto"/>
            <w:vAlign w:val="center"/>
          </w:tcPr>
          <w:p w14:paraId="00963C8E">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挥发性风味物质</w:t>
            </w:r>
          </w:p>
        </w:tc>
        <w:tc>
          <w:tcPr>
            <w:tcW w:w="1917" w:type="pct"/>
            <w:tcBorders>
              <w:tl2br w:val="nil"/>
              <w:tr2bl w:val="nil"/>
            </w:tcBorders>
            <w:shd w:val="clear" w:color="auto" w:fill="auto"/>
            <w:vAlign w:val="center"/>
          </w:tcPr>
          <w:p w14:paraId="6EAA21B6">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bidi="ar-SA"/>
              </w:rPr>
              <w:t>切制2cm</w:t>
            </w:r>
            <w:r>
              <w:rPr>
                <w:rFonts w:hint="eastAsia" w:ascii="宋体" w:hAnsi="宋体" w:eastAsia="宋体" w:cs="宋体"/>
                <w:kern w:val="0"/>
                <w:sz w:val="21"/>
                <w:szCs w:val="21"/>
                <w:lang w:val="en-US" w:eastAsia="zh-CN" w:bidi="ar-SA"/>
              </w:rPr>
              <w:fldChar w:fldCharType="begin"/>
            </w:r>
            <w:r>
              <w:rPr>
                <w:rFonts w:hint="eastAsia" w:ascii="宋体" w:hAnsi="宋体" w:eastAsia="宋体" w:cs="宋体"/>
                <w:kern w:val="0"/>
                <w:sz w:val="21"/>
                <w:szCs w:val="21"/>
                <w:lang w:val="en-US" w:eastAsia="zh-CN" w:bidi="ar-SA"/>
              </w:rPr>
              <w:instrText xml:space="preserve"> QUOTE </w:instrText>
            </w:r>
            <w:r>
              <w:rPr>
                <w:rFonts w:hint="eastAsia" w:ascii="宋体" w:hAnsi="宋体" w:eastAsia="宋体" w:cs="宋体"/>
                <w:kern w:val="0"/>
                <w:sz w:val="21"/>
                <w:szCs w:val="21"/>
                <w:lang w:val="en-US" w:eastAsia="zh-CN" w:bidi="ar-SA"/>
              </w:rPr>
              <w:pict>
                <v:shape id="_x0000_i1025" o:spt="75" type="#_x0000_t75" style="height:31.5pt;width: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408C&quot;/&gt;&lt;wsp:rsid wsp:val=&quot;0000586F&quot;/&gt;&lt;wsp:rsid wsp:val=&quot;00013D86&quot;/&gt;&lt;wsp:rsid wsp:val=&quot;00013E02&quot;/&gt;&lt;wsp:rsid wsp:val=&quot;0002143C&quot;/&gt;&lt;wsp:rsid wsp:val=&quot;00025A65&quot;/&gt;&lt;wsp:rsid wsp:val=&quot;00026C31&quot;/&gt;&lt;wsp:rsid wsp:val=&quot;00027280&quot;/&gt;&lt;wsp:rsid wsp:val=&quot;000320A7&quot;/&gt;&lt;wsp:rsid wsp:val=&quot;00035925&quot;/&gt;&lt;wsp:rsid wsp:val=&quot;000666BD&quot;/&gt;&lt;wsp:rsid wsp:val=&quot;00067CDF&quot;/&gt;&lt;wsp:rsid wsp:val=&quot;00067DA3&quot;/&gt;&lt;wsp:rsid wsp:val=&quot;00073A9B&quot;/&gt;&lt;wsp:rsid wsp:val=&quot;00074FBE&quot;/&gt;&lt;wsp:rsid wsp:val=&quot;00080679&quot;/&gt;&lt;wsp:rsid wsp:val=&quot;00083A09&quot;/&gt;&lt;wsp:rsid wsp:val=&quot;000873C2&quot;/&gt;&lt;wsp:rsid wsp:val=&quot;0009005E&quot;/&gt;&lt;wsp:rsid wsp:val=&quot;00092857&quot;/&gt;&lt;wsp:rsid wsp:val=&quot;00097FEB&quot;/&gt;&lt;wsp:rsid wsp:val=&quot;000A20A9&quot;/&gt;&lt;wsp:rsid wsp:val=&quot;000A48B1&quot;/&gt;&lt;wsp:rsid wsp:val=&quot;000B3143&quot;/&gt;&lt;wsp:rsid wsp:val=&quot;000C6B05&quot;/&gt;&lt;wsp:rsid wsp:val=&quot;000C6DD6&quot;/&gt;&lt;wsp:rsid wsp:val=&quot;000C73D4&quot;/&gt;&lt;wsp:rsid wsp:val=&quot;000D134D&quot;/&gt;&lt;wsp:rsid wsp:val=&quot;000D3D4C&quot;/&gt;&lt;wsp:rsid wsp:val=&quot;000D4F51&quot;/&gt;&lt;wsp:rsid wsp:val=&quot;000D718B&quot;/&gt;&lt;wsp:rsid wsp:val=&quot;000E0C46&quot;/&gt;&lt;wsp:rsid wsp:val=&quot;000E5D25&quot;/&gt;&lt;wsp:rsid wsp:val=&quot;000F030C&quot;/&gt;&lt;wsp:rsid wsp:val=&quot;000F129C&quot;/&gt;&lt;wsp:rsid wsp:val=&quot;001056DE&quot;/&gt;&lt;wsp:rsid wsp:val=&quot;001124C0&quot;/&gt;&lt;wsp:rsid wsp:val=&quot;00115147&quot;/&gt;&lt;wsp:rsid wsp:val=&quot;00125E19&quot;/&gt;&lt;wsp:rsid wsp:val=&quot;001304D4&quot;/&gt;&lt;wsp:rsid wsp:val=&quot;0013175F&quot;/&gt;&lt;wsp:rsid wsp:val=&quot;00141E1B&quot;/&gt;&lt;wsp:rsid wsp:val=&quot;001439FC&quot;/&gt;&lt;wsp:rsid wsp:val=&quot;001512B4&quot;/&gt;&lt;wsp:rsid wsp:val=&quot;0015746C&quot;/&gt;&lt;wsp:rsid wsp:val=&quot;001620A5&quot;/&gt;&lt;wsp:rsid wsp:val=&quot;00164557&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779&quot;/&gt;&lt;wsp:rsid wsp:val=&quot;00193A2C&quot;/&gt;&lt;wsp:rsid wsp:val=&quot;001A288E&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3A19&quot;/&gt;&lt;wsp:rsid wsp:val=&quot;002201D4&quot;/&gt;&lt;wsp:rsid wsp:val=&quot;00234467&quot;/&gt;&lt;wsp:rsid wsp:val=&quot;00237D8D&quot;/&gt;&lt;wsp:rsid wsp:val=&quot;00241DA2&quot;/&gt;&lt;wsp:rsid wsp:val=&quot;002424B1&quot;/&gt;&lt;wsp:rsid wsp:val=&quot;00247FEE&quot;/&gt;&lt;wsp:rsid wsp:val=&quot;00250E7D&quot;/&gt;&lt;wsp:rsid wsp:val=&quot;002565D5&quot;/&gt;&lt;wsp:rsid wsp:val=&quot;002622C0&quot;/&gt;&lt;wsp:rsid wsp:val=&quot;00264672&quot;/&gt;&lt;wsp:rsid wsp:val=&quot;002724B6&quot;/&gt;&lt;wsp:rsid wsp:val=&quot;002778AE&quot;/&gt;&lt;wsp:rsid wsp:val=&quot;002809D3&quot;/&gt;&lt;wsp:rsid wsp:val=&quot;00280C51&quot;/&gt;&lt;wsp:rsid wsp:val=&quot;0028269A&quot;/&gt;&lt;wsp:rsid wsp:val=&quot;00283590&quot;/&gt;&lt;wsp:rsid wsp:val=&quot;00286973&quot;/&gt;&lt;wsp:rsid wsp:val=&quot;00287D57&quot;/&gt;&lt;wsp:rsid wsp:val=&quot;00294E70&quot;/&gt;&lt;wsp:rsid wsp:val=&quot;002A0A6A&quot;/&gt;&lt;wsp:rsid wsp:val=&quot;002A1924&quot;/&gt;&lt;wsp:rsid wsp:val=&quot;002A7420&quot;/&gt;&lt;wsp:rsid wsp:val=&quot;002B0F12&quot;/&gt;&lt;wsp:rsid wsp:val=&quot;002B1308&quot;/&gt;&lt;wsp:rsid wsp:val=&quot;002B24AD&quot;/&gt;&lt;wsp:rsid wsp:val=&quot;002B4554&quot;/&gt;&lt;wsp:rsid wsp:val=&quot;002B7276&quot;/&gt;&lt;wsp:rsid wsp:val=&quot;002C72D8&quot;/&gt;&lt;wsp:rsid wsp:val=&quot;002D11FA&quot;/&gt;&lt;wsp:rsid wsp:val=&quot;002D2E43&quot;/&gt;&lt;wsp:rsid wsp:val=&quot;002E0DDF&quot;/&gt;&lt;wsp:rsid wsp:val=&quot;002E2906&quot;/&gt;&lt;wsp:rsid wsp:val=&quot;002E5635&quot;/&gt;&lt;wsp:rsid wsp:val=&quot;002E64C3&quot;/&gt;&lt;wsp:rsid wsp:val=&quot;002E6A2C&quot;/&gt;&lt;wsp:rsid wsp:val=&quot;002F1D8C&quot;/&gt;&lt;wsp:rsid wsp:val=&quot;002F21DA&quot;/&gt;&lt;wsp:rsid wsp:val=&quot;002F593B&quot;/&gt;&lt;wsp:rsid wsp:val=&quot;00301F39&quot;/&gt;&lt;wsp:rsid wsp:val=&quot;00325926&quot;/&gt;&lt;wsp:rsid wsp:val=&quot;00327A8A&quot;/&gt;&lt;wsp:rsid wsp:val=&quot;00336610&quot;/&gt;&lt;wsp:rsid wsp:val=&quot;0033784C&quot;/&gt;&lt;wsp:rsid wsp:val=&quot;00343F73&quot;/&gt;&lt;wsp:rsid wsp:val=&quot;00345060&quot;/&gt;&lt;wsp:rsid wsp:val=&quot;0035323B&quot;/&gt;&lt;wsp:rsid wsp:val=&quot;003542CD&quot;/&gt;&lt;wsp:rsid wsp:val=&quot;0035485B&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B282A&quot;/&gt;&lt;wsp:rsid wsp:val=&quot;003C11CB&quot;/&gt;&lt;wsp:rsid wsp:val=&quot;003C75F3&quot;/&gt;&lt;wsp:rsid wsp:val=&quot;003C78A3&quot;/&gt;&lt;wsp:rsid wsp:val=&quot;003D588B&quot;/&gt;&lt;wsp:rsid wsp:val=&quot;003E1867&quot;/&gt;&lt;wsp:rsid wsp:val=&quot;003E5729&quot;/&gt;&lt;wsp:rsid wsp:val=&quot;003F4EE0&quot;/&gt;&lt;wsp:rsid wsp:val=&quot;003F7024&quot;/&gt;&lt;wsp:rsid wsp:val=&quot;00400988&quot;/&gt;&lt;wsp:rsid wsp:val=&quot;00402153&quot;/&gt;&lt;wsp:rsid wsp:val=&quot;00402FC1&quot;/&gt;&lt;wsp:rsid wsp:val=&quot;00405591&quot;/&gt;&lt;wsp:rsid wsp:val=&quot;00423B12&quot;/&gt;&lt;wsp:rsid wsp:val=&quot;00425082&quot;/&gt;&lt;wsp:rsid wsp:val=&quot;00426463&quot;/&gt;&lt;wsp:rsid wsp:val=&quot;00426FDA&quot;/&gt;&lt;wsp:rsid wsp:val=&quot;004302C2&quot;/&gt;&lt;wsp:rsid wsp:val=&quot;00431DEB&quot;/&gt;&lt;wsp:rsid wsp:val=&quot;00446B29&quot;/&gt;&lt;wsp:rsid wsp:val=&quot;00453F9A&quot;/&gt;&lt;wsp:rsid wsp:val=&quot;00471E91&quot;/&gt;&lt;wsp:rsid wsp:val=&quot;00474675&quot;/&gt;&lt;wsp:rsid wsp:val=&quot;0047470C&quot;/&gt;&lt;wsp:rsid wsp:val=&quot;00487507&quot;/&gt;&lt;wsp:rsid wsp:val=&quot;00496357&quot;/&gt;&lt;wsp:rsid wsp:val=&quot;004A35F9&quot;/&gt;&lt;wsp:rsid wsp:val=&quot;004B24C1&quot;/&gt;&lt;wsp:rsid wsp:val=&quot;004B6A4C&quot;/&gt;&lt;wsp:rsid wsp:val=&quot;004C292F&quot;/&gt;&lt;wsp:rsid wsp:val=&quot;004D5A5A&quot;/&gt;&lt;wsp:rsid wsp:val=&quot;004E2308&quot;/&gt;&lt;wsp:rsid wsp:val=&quot;004F33A7&quot;/&gt;&lt;wsp:rsid wsp:val=&quot;00510280&quot;/&gt;&lt;wsp:rsid wsp:val=&quot;00513D73&quot;/&gt;&lt;wsp:rsid wsp:val=&quot;00514A43&quot;/&gt;&lt;wsp:rsid wsp:val=&quot;00516723&quot;/&gt;&lt;wsp:rsid wsp:val=&quot;005174E5&quot;/&gt;&lt;wsp:rsid wsp:val=&quot;00522393&quot;/&gt;&lt;wsp:rsid wsp:val=&quot;00522620&quot;/&gt;&lt;wsp:rsid wsp:val=&quot;00525656&quot;/&gt;&lt;wsp:rsid wsp:val=&quot;00525B73&quot;/&gt;&lt;wsp:rsid wsp:val=&quot;00534C02&quot;/&gt;&lt;wsp:rsid wsp:val=&quot;00536566&quot;/&gt;&lt;wsp:rsid wsp:val=&quot;0054264B&quot;/&gt;&lt;wsp:rsid wsp:val=&quot;00543786&quot;/&gt;&lt;wsp:rsid wsp:val=&quot;005521AF&quot;/&gt;&lt;wsp:rsid wsp:val=&quot;005533D7&quot;/&gt;&lt;wsp:rsid wsp:val=&quot;005703DE&quot;/&gt;&lt;wsp:rsid wsp:val=&quot;0057199C&quot;/&gt;&lt;wsp:rsid wsp:val=&quot;00576CE3&quot;/&gt;&lt;wsp:rsid wsp:val=&quot;0058464E&quot;/&gt;&lt;wsp:rsid wsp:val=&quot;005A01CB&quot;/&gt;&lt;wsp:rsid wsp:val=&quot;005A58FF&quot;/&gt;&lt;wsp:rsid wsp:val=&quot;005A5EAF&quot;/&gt;&lt;wsp:rsid wsp:val=&quot;005A64C0&quot;/&gt;&lt;wsp:rsid wsp:val=&quot;005B3C11&quot;/&gt;&lt;wsp:rsid wsp:val=&quot;005B4820&quot;/&gt;&lt;wsp:rsid wsp:val=&quot;005B60A3&quot;/&gt;&lt;wsp:rsid wsp:val=&quot;005C1C28&quot;/&gt;&lt;wsp:rsid wsp:val=&quot;005C5DB2&quot;/&gt;&lt;wsp:rsid wsp:val=&quot;005C6DB5&quot;/&gt;&lt;wsp:rsid wsp:val=&quot;005E19E7&quot;/&gt;&lt;wsp:rsid wsp:val=&quot;00603272&quot;/&gt;&lt;wsp:rsid wsp:val=&quot;0061716C&quot;/&gt;&lt;wsp:rsid wsp:val=&quot;006222F7&quot;/&gt;&lt;wsp:rsid wsp:val=&quot;006243A1&quot;/&gt;&lt;wsp:rsid wsp:val=&quot;006250B6&quot;/&gt;&lt;wsp:rsid wsp:val=&quot;00632E56&quot;/&gt;&lt;wsp:rsid wsp:val=&quot;00635CBA&quot;/&gt;&lt;wsp:rsid wsp:val=&quot;0064338B&quot;/&gt;&lt;wsp:rsid wsp:val=&quot;00646542&quot;/&gt;&lt;wsp:rsid wsp:val=&quot;006504F4&quot;/&gt;&lt;wsp:rsid wsp:val=&quot;00654BC9&quot;/&gt;&lt;wsp:rsid wsp:val=&quot;006552FD&quot;/&gt;&lt;wsp:rsid wsp:val=&quot;0066225A&quot;/&gt;&lt;wsp:rsid wsp:val=&quot;00663AF3&quot;/&gt;&lt;wsp:rsid wsp:val=&quot;00666B6C&quot;/&gt;&lt;wsp:rsid wsp:val=&quot;00682682&quot;/&gt;&lt;wsp:rsid wsp:val=&quot;00682702&quot;/&gt;&lt;wsp:rsid wsp:val=&quot;00687444&quot;/&gt;&lt;wsp:rsid wsp:val=&quot;00690609&quot;/&gt;&lt;wsp:rsid wsp:val=&quot;00692368&quot;/&gt;&lt;wsp:rsid wsp:val=&quot;006A2EBC&quot;/&gt;&lt;wsp:rsid wsp:val=&quot;006A5EA0&quot;/&gt;&lt;wsp:rsid wsp:val=&quot;006A783B&quot;/&gt;&lt;wsp:rsid wsp:val=&quot;006A7B33&quot;/&gt;&lt;wsp:rsid wsp:val=&quot;006B3C42&quot;/&gt;&lt;wsp:rsid wsp:val=&quot;006B3DC7&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6F32E3&quot;/&gt;&lt;wsp:rsid wsp:val=&quot;00704DF6&quot;/&gt;&lt;wsp:rsid wsp:val=&quot;0070651C&quot;/&gt;&lt;wsp:rsid wsp:val=&quot;007132A3&quot;/&gt;&lt;wsp:rsid wsp:val=&quot;00716421&quot;/&gt;&lt;wsp:rsid wsp:val=&quot;0072211F&quot;/&gt;&lt;wsp:rsid wsp:val=&quot;00724EFB&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09E8&quot;/&gt;&lt;wsp:rsid wsp:val=&quot;007913AB&quot;/&gt;&lt;wsp:rsid wsp:val=&quot;007914F7&quot;/&gt;&lt;wsp:rsid wsp:val=&quot;007B1625&quot;/&gt;&lt;wsp:rsid wsp:val=&quot;007B706E&quot;/&gt;&lt;wsp:rsid wsp:val=&quot;007B71EB&quot;/&gt;&lt;wsp:rsid wsp:val=&quot;007C0F70&quot;/&gt;&lt;wsp:rsid wsp:val=&quot;007C37B5&quot;/&gt;&lt;wsp:rsid wsp:val=&quot;007C6205&quot;/&gt;&lt;wsp:rsid wsp:val=&quot;007C686A&quot;/&gt;&lt;wsp:rsid wsp:val=&quot;007C728E&quot;/&gt;&lt;wsp:rsid wsp:val=&quot;007D00CA&quot;/&gt;&lt;wsp:rsid wsp:val=&quot;007D1156&quot;/&gt;&lt;wsp:rsid wsp:val=&quot;007D2C53&quot;/&gt;&lt;wsp:rsid wsp:val=&quot;007D3D60&quot;/&gt;&lt;wsp:rsid wsp:val=&quot;007E1526&quot;/&gt;&lt;wsp:rsid wsp:val=&quot;007E1980&quot;/&gt;&lt;wsp:rsid wsp:val=&quot;007E4B76&quot;/&gt;&lt;wsp:rsid wsp:val=&quot;007E5EA8&quot;/&gt;&lt;wsp:rsid wsp:val=&quot;007F0CF1&quot;/&gt;&lt;wsp:rsid wsp:val=&quot;007F12A5&quot;/&gt;&lt;wsp:rsid wsp:val=&quot;007F2A0C&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4660D&quot;/&gt;&lt;wsp:rsid wsp:val=&quot;008504A8&quot;/&gt;&lt;wsp:rsid wsp:val=&quot;0085282E&quot;/&gt;&lt;wsp:rsid wsp:val=&quot;008548A1&quot;/&gt;&lt;wsp:rsid wsp:val=&quot;00865990&quot;/&gt;&lt;wsp:rsid wsp:val=&quot;00866020&quot;/&gt;&lt;wsp:rsid wsp:val=&quot;0087198C&quot;/&gt;&lt;wsp:rsid wsp:val=&quot;00872C1F&quot;/&gt;&lt;wsp:rsid wsp:val=&quot;00873B42&quot;/&gt;&lt;wsp:rsid wsp:val=&quot;008856D8&quot;/&gt;&lt;wsp:rsid wsp:val=&quot;008860C4&quot;/&gt;&lt;wsp:rsid wsp:val=&quot;00892E82&quot;/&gt;&lt;wsp:rsid wsp:val=&quot;008C1B58&quot;/&gt;&lt;wsp:rsid wsp:val=&quot;008C39AE&quot;/&gt;&lt;wsp:rsid wsp:val=&quot;008C590D&quot;/&gt;&lt;wsp:rsid wsp:val=&quot;008E031B&quot;/&gt;&lt;wsp:rsid wsp:val=&quot;008E7029&quot;/&gt;&lt;wsp:rsid wsp:val=&quot;008E7473&quot;/&gt;&lt;wsp:rsid wsp:val=&quot;008E7EF6&quot;/&gt;&lt;wsp:rsid wsp:val=&quot;008F1F98&quot;/&gt;&lt;wsp:rsid wsp:val=&quot;008F30B0&quot;/&gt;&lt;wsp:rsid wsp:val=&quot;008F6758&quot;/&gt;&lt;wsp:rsid wsp:val=&quot;009040DD&quot;/&gt;&lt;wsp:rsid wsp:val=&quot;00905B47&quot;/&gt;&lt;wsp:rsid wsp:val=&quot;0091331C&quot;/&gt;&lt;wsp:rsid wsp:val=&quot;009155A5&quot;/&gt;&lt;wsp:rsid wsp:val=&quot;009279DE&quot;/&gt;&lt;wsp:rsid wsp:val=&quot;00930116&quot;/&gt;&lt;wsp:rsid wsp:val=&quot;0094212C&quot;/&gt;&lt;wsp:rsid wsp:val=&quot;00946B79&quot;/&gt;&lt;wsp:rsid wsp:val=&quot;00954689&quot;/&gt;&lt;wsp:rsid wsp:val=&quot;009617C9&quot;/&gt;&lt;wsp:rsid wsp:val=&quot;00961C93&quot;/&gt;&lt;wsp:rsid wsp:val=&quot;00965324&quot;/&gt;&lt;wsp:rsid wsp:val=&quot;00967A06&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26A8&quot;/&gt;&lt;wsp:rsid wsp:val=&quot;009A3A7C&quot;/&gt;&lt;wsp:rsid wsp:val=&quot;009B2ADB&quot;/&gt;&lt;wsp:rsid wsp:val=&quot;009B2F63&quot;/&gt;&lt;wsp:rsid wsp:val=&quot;009B4403&quot;/&gt;&lt;wsp:rsid wsp:val=&quot;009B603A&quot;/&gt;&lt;wsp:rsid wsp:val=&quot;009C2D05&quot;/&gt;&lt;wsp:rsid wsp:val=&quot;009C2D0E&quot;/&gt;&lt;wsp:rsid wsp:val=&quot;009C3DAC&quot;/&gt;&lt;wsp:rsid wsp:val=&quot;009C42E0&quot;/&gt;&lt;wsp:rsid wsp:val=&quot;009D5362&quot;/&gt;&lt;wsp:rsid wsp:val=&quot;009E1415&quot;/&gt;&lt;wsp:rsid wsp:val=&quot;009E4937&quot;/&gt;&lt;wsp:rsid wsp:val=&quot;009E6116&quot;/&gt;&lt;wsp:rsid wsp:val=&quot;009F4B55&quot;/&gt;&lt;wsp:rsid wsp:val=&quot;009F5585&quot;/&gt;&lt;wsp:rsid wsp:val=&quot;00A02E43&quot;/&gt;&lt;wsp:rsid wsp:val=&quot;00A065F9&quot;/&gt;&lt;wsp:rsid wsp:val=&quot;00A07F34&quot;/&gt;&lt;wsp:rsid wsp:val=&quot;00A22154&quot;/&gt;&lt;wsp:rsid wsp:val=&quot;00A24C67&quot;/&gt;&lt;wsp:rsid wsp:val=&quot;00A25C38&quot;/&gt;&lt;wsp:rsid wsp:val=&quot;00A27796&quot;/&gt;&lt;wsp:rsid wsp:val=&quot;00A27D52&quot;/&gt;&lt;wsp:rsid wsp:val=&quot;00A36BBE&quot;/&gt;&lt;wsp:rsid wsp:val=&quot;00A4307A&quot;/&gt;&lt;wsp:rsid wsp:val=&quot;00A47EBB&quot;/&gt;&lt;wsp:rsid wsp:val=&quot;00A51CDD&quot;/&gt;&lt;wsp:rsid wsp:val=&quot;00A52C45&quot;/&gt;&lt;wsp:rsid wsp:val=&quot;00A55734&quot;/&gt;&lt;wsp:rsid wsp:val=&quot;00A6730D&quot;/&gt;&lt;wsp:rsid wsp:val=&quot;00A71625&quot;/&gt;&lt;wsp:rsid wsp:val=&quot;00A71B9B&quot;/&gt;&lt;wsp:rsid wsp:val=&quot;00A751C7&quot;/&gt;&lt;wsp:rsid wsp:val=&quot;00A87844&quot;/&gt;&lt;wsp:rsid wsp:val=&quot;00A93D2B&quot;/&gt;&lt;wsp:rsid wsp:val=&quot;00A97959&quot;/&gt;&lt;wsp:rsid wsp:val=&quot;00AA038C&quot;/&gt;&lt;wsp:rsid wsp:val=&quot;00AA7A09&quot;/&gt;&lt;wsp:rsid wsp:val=&quot;00AB3B50&quot;/&gt;&lt;wsp:rsid wsp:val=&quot;00AB43D4&quot;/&gt;&lt;wsp:rsid wsp:val=&quot;00AC05B1&quot;/&gt;&lt;wsp:rsid wsp:val=&quot;00AC4043&quot;/&gt;&lt;wsp:rsid wsp:val=&quot;00AD356C&quot;/&gt;&lt;wsp:rsid wsp:val=&quot;00AE1BD3&quot;/&gt;&lt;wsp:rsid wsp:val=&quot;00AE2914&quot;/&gt;&lt;wsp:rsid wsp:val=&quot;00AE2D16&quot;/&gt;&lt;wsp:rsid wsp:val=&quot;00AE4F73&quot;/&gt;&lt;wsp:rsid wsp:val=&quot;00AE6D15&quot;/&gt;&lt;wsp:rsid wsp:val=&quot;00B04182&quot;/&gt;&lt;wsp:rsid wsp:val=&quot;00B07AE3&quot;/&gt;&lt;wsp:rsid wsp:val=&quot;00B11430&quot;/&gt;&lt;wsp:rsid wsp:val=&quot;00B237FE&quot;/&gt;&lt;wsp:rsid wsp:val=&quot;00B353EB&quot;/&gt;&lt;wsp:rsid wsp:val=&quot;00B43052&quot;/&gt;&lt;wsp:rsid wsp:val=&quot;00B439C4&quot;/&gt;&lt;wsp:rsid wsp:val=&quot;00B4535E&quot;/&gt;&lt;wsp:rsid wsp:val=&quot;00B52242&quot;/&gt;&lt;wsp:rsid wsp:val=&quot;00B52A8C&quot;/&gt;&lt;wsp:rsid wsp:val=&quot;00B636A8&quot;/&gt;&lt;wsp:rsid wsp:val=&quot;00B665C6&quot;/&gt;&lt;wsp:rsid wsp:val=&quot;00B805AF&quot;/&gt;&lt;wsp:rsid wsp:val=&quot;00B869EC&quot;/&gt;&lt;wsp:rsid wsp:val=&quot;00B90836&quot;/&gt;&lt;wsp:rsid wsp:val=&quot;00B9397A&quot;/&gt;&lt;wsp:rsid wsp:val=&quot;00B950D7&quot;/&gt;&lt;wsp:rsid wsp:val=&quot;00B9633D&quot;/&gt;&lt;wsp:rsid wsp:val=&quot;00BA2EBE&quot;/&gt;&lt;wsp:rsid wsp:val=&quot;00BB0F28&quot;/&gt;&lt;wsp:rsid wsp:val=&quot;00BB458A&quot;/&gt;&lt;wsp:rsid wsp:val=&quot;00BD00D3&quot;/&gt;&lt;wsp:rsid wsp:val=&quot;00BD1659&quot;/&gt;&lt;wsp:rsid wsp:val=&quot;00BD2D5A&quot;/&gt;&lt;wsp:rsid wsp:val=&quot;00BD3AA9&quot;/&gt;&lt;wsp:rsid wsp:val=&quot;00BD4A18&quot;/&gt;&lt;wsp:rsid wsp:val=&quot;00BD6DB2&quot;/&gt;&lt;wsp:rsid wsp:val=&quot;00BE11CF&quot;/&gt;&lt;wsp:rsid wsp:val=&quot;00BE21AB&quot;/&gt;&lt;wsp:rsid wsp:val=&quot;00BE55CB&quot;/&gt;&lt;wsp:rsid wsp:val=&quot;00BF1CD8&quot;/&gt;&lt;wsp:rsid wsp:val=&quot;00BF617A&quot;/&gt;&lt;wsp:rsid wsp:val=&quot;00C0379D&quot;/&gt;&lt;wsp:rsid wsp:val=&quot;00C03931&quot;/&gt;&lt;wsp:rsid wsp:val=&quot;00C05FE3&quot;/&gt;&lt;wsp:rsid wsp:val=&quot;00C13FDC&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2836&quot;/&gt;&lt;wsp:rsid wsp:val=&quot;00C34397&quot;/&gt;&lt;wsp:rsid wsp:val=&quot;00C34B27&quot;/&gt;&lt;wsp:rsid wsp:val=&quot;00C4095D&quot;/&gt;&lt;wsp:rsid wsp:val=&quot;00C601D2&quot;/&gt;&lt;wsp:rsid wsp:val=&quot;00C65BCC&quot;/&gt;&lt;wsp:rsid wsp:val=&quot;00C66970&quot;/&gt;&lt;wsp:rsid wsp:val=&quot;00C75A27&quot;/&gt;&lt;wsp:rsid wsp:val=&quot;00C766E5&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CD6600&quot;/&gt;&lt;wsp:rsid wsp:val=&quot;00D0337B&quot;/&gt;&lt;wsp:rsid wsp:val=&quot;00D079B2&quot;/&gt;&lt;wsp:rsid wsp:val=&quot;00D114E9&quot;/&gt;&lt;wsp:rsid wsp:val=&quot;00D429C6&quot;/&gt;&lt;wsp:rsid wsp:val=&quot;00D47748&quot;/&gt;&lt;wsp:rsid wsp:val=&quot;00D51934&quot;/&gt;&lt;wsp:rsid wsp:val=&quot;00D54CC3&quot;/&gt;&lt;wsp:rsid wsp:val=&quot;00D6041A&quot;/&gt;&lt;wsp:rsid wsp:val=&quot;00D633EB&quot;/&gt;&lt;wsp:rsid wsp:val=&quot;00D655D7&quot;/&gt;&lt;wsp:rsid wsp:val=&quot;00D82FF7&quot;/&gt;&lt;wsp:rsid wsp:val=&quot;00D847FE&quot;/&gt;&lt;wsp:rsid wsp:val=&quot;00D964EA&quot;/&gt;&lt;wsp:rsid wsp:val=&quot;00D966D0&quot;/&gt;&lt;wsp:rsid wsp:val=&quot;00DA0C59&quot;/&gt;&lt;wsp:rsid wsp:val=&quot;00DA2251&quot;/&gt;&lt;wsp:rsid wsp:val=&quot;00DA3991&quot;/&gt;&lt;wsp:rsid wsp:val=&quot;00DB7E6C&quot;/&gt;&lt;wsp:rsid wsp:val=&quot;00DC45D6&quot;/&gt;&lt;wsp:rsid wsp:val=&quot;00DD5A29&quot;/&gt;&lt;wsp:rsid wsp:val=&quot;00DD5D9D&quot;/&gt;&lt;wsp:rsid wsp:val=&quot;00DE35CB&quot;/&gt;&lt;wsp:rsid wsp:val=&quot;00DF21E9&quot;/&gt;&lt;wsp:rsid wsp:val=&quot;00E0030B&quot;/&gt;&lt;wsp:rsid wsp:val=&quot;00E00F14&quot;/&gt;&lt;wsp:rsid wsp:val=&quot;00E06386&quot;/&gt;&lt;wsp:rsid wsp:val=&quot;00E11169&quot;/&gt;&lt;wsp:rsid wsp:val=&quot;00E124DB&quot;/&gt;&lt;wsp:rsid wsp:val=&quot;00E14B19&quot;/&gt;&lt;wsp:rsid wsp:val=&quot;00E24EB4&quot;/&gt;&lt;wsp:rsid wsp:val=&quot;00E320ED&quot;/&gt;&lt;wsp:rsid wsp:val=&quot;00E33AFB&quot;/&gt;&lt;wsp:rsid wsp:val=&quot;00E34218&quot;/&gt;&lt;wsp:rsid wsp:val=&quot;00E46282&quot;/&gt;&lt;wsp:rsid wsp:val=&quot;00E46B24&quot;/&gt;&lt;wsp:rsid wsp:val=&quot;00E5216E&quot;/&gt;&lt;wsp:rsid wsp:val=&quot;00E76CAE&quot;/&gt;&lt;wsp:rsid wsp:val=&quot;00E82344&quot;/&gt;&lt;wsp:rsid wsp:val=&quot;00E84C82&quot;/&gt;&lt;wsp:rsid wsp:val=&quot;00E84D64&quot;/&gt;&lt;wsp:rsid wsp:val=&quot;00E87408&quot;/&gt;&lt;wsp:rsid wsp:val=&quot;00E914C4&quot;/&gt;&lt;wsp:rsid wsp:val=&quot;00E934F5&quot;/&gt;&lt;wsp:rsid wsp:val=&quot;00E9674B&quot;/&gt;&lt;wsp:rsid wsp:val=&quot;00E96961&quot;/&gt;&lt;wsp:rsid wsp:val=&quot;00E97C70&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D3C9B&quot;/&gt;&lt;wsp:rsid wsp:val=&quot;00EE2BED&quot;/&gt;&lt;wsp:rsid wsp:val=&quot;00EE374B&quot;/&gt;&lt;wsp:rsid wsp:val=&quot;00EE6628&quot;/&gt;&lt;wsp:rsid wsp:val=&quot;00EF32C9&quot;/&gt;&lt;wsp:rsid wsp:val=&quot;00F01D7F&quot;/&gt;&lt;wsp:rsid wsp:val=&quot;00F11BB5&quot;/&gt;&lt;wsp:rsid wsp:val=&quot;00F123DA&quot;/&gt;&lt;wsp:rsid wsp:val=&quot;00F1417B&quot;/&gt;&lt;wsp:rsid wsp:val=&quot;00F14DFF&quot;/&gt;&lt;wsp:rsid wsp:val=&quot;00F30391&quot;/&gt;&lt;wsp:rsid wsp:val=&quot;00F34B99&quot;/&gt;&lt;wsp:rsid wsp:val=&quot;00F36F63&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2B25&quot;/&gt;&lt;wsp:rsid wsp:val=&quot;00FC6358&quot;/&gt;&lt;wsp:rsid wsp:val=&quot;00FD12CA&quot;/&gt;&lt;wsp:rsid wsp:val=&quot;00FD21F2&quot;/&gt;&lt;wsp:rsid wsp:val=&quot;00FD320D&quot;/&gt;&lt;wsp:rsid wsp:val=&quot;00FE23DE&quot;/&gt;&lt;/wsp:rsids&gt;&lt;/w:docPr&gt;&lt;w:body&gt;&lt;wx:sect&gt;&lt;w:p wsp:rsidR=&quot;00000000&quot; wsp:rsidRDefault=&quot;003F7024&quot; wsp:rsidP=&quot;003F7024&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4" chromakey="#FFFFFF" o:title=""/>
                  <o:lock v:ext="edit" aspectratio="t"/>
                  <w10:wrap type="none"/>
                  <w10:anchorlock/>
                </v:shape>
              </w:pict>
            </w:r>
            <w:r>
              <w:rPr>
                <w:rFonts w:hint="eastAsia" w:ascii="宋体" w:hAnsi="宋体" w:eastAsia="宋体" w:cs="宋体"/>
                <w:kern w:val="0"/>
                <w:sz w:val="21"/>
                <w:szCs w:val="21"/>
                <w:lang w:val="en-US" w:eastAsia="zh-CN" w:bidi="ar-SA"/>
              </w:rPr>
              <w:instrText xml:space="preserve"> </w:instrText>
            </w:r>
            <w:r>
              <w:rPr>
                <w:rFonts w:hint="eastAsia" w:ascii="宋体" w:hAnsi="宋体" w:eastAsia="宋体" w:cs="宋体"/>
                <w:kern w:val="0"/>
                <w:sz w:val="21"/>
                <w:szCs w:val="21"/>
                <w:lang w:val="en-US" w:eastAsia="zh-CN" w:bidi="ar-SA"/>
              </w:rPr>
              <w:fldChar w:fldCharType="separate"/>
            </w:r>
            <w:r>
              <w:rPr>
                <w:rFonts w:hint="eastAsia" w:ascii="宋体" w:hAnsi="宋体" w:eastAsia="宋体" w:cs="宋体"/>
                <w:kern w:val="0"/>
                <w:sz w:val="21"/>
                <w:szCs w:val="21"/>
                <w:lang w:val="en-US" w:eastAsia="zh-CN" w:bidi="ar-SA"/>
              </w:rPr>
              <w:t xml:space="preserve"> </w:t>
            </w:r>
            <w:r>
              <w:rPr>
                <w:rFonts w:hint="eastAsia" w:ascii="宋体" w:hAnsi="宋体" w:eastAsia="宋体" w:cs="宋体"/>
                <w:kern w:val="0"/>
                <w:sz w:val="21"/>
                <w:szCs w:val="21"/>
                <w:lang w:val="en-US" w:eastAsia="zh-CN" w:bidi="ar-SA"/>
              </w:rPr>
              <w:fldChar w:fldCharType="end"/>
            </w:r>
            <w:r>
              <w:rPr>
                <w:rFonts w:hint="eastAsia" w:ascii="宋体" w:hAnsi="宋体" w:eastAsia="宋体" w:cs="宋体"/>
                <w:kern w:val="0"/>
                <w:sz w:val="21"/>
                <w:szCs w:val="21"/>
                <w:lang w:val="en-US" w:eastAsia="zh-CN" w:bidi="ar-SA"/>
              </w:rPr>
              <w:t>× 2cm的方块</w:t>
            </w:r>
            <w:r>
              <w:rPr>
                <w:rFonts w:hint="eastAsia" w:hAnsi="宋体" w:cs="宋体"/>
                <w:kern w:val="0"/>
                <w:sz w:val="21"/>
                <w:szCs w:val="21"/>
                <w:lang w:val="en-US" w:eastAsia="zh-CN" w:bidi="ar-SA"/>
              </w:rPr>
              <w:t>，</w:t>
            </w:r>
            <w:r>
              <w:rPr>
                <w:rFonts w:hint="eastAsia" w:hAnsi="宋体" w:cs="宋体"/>
                <w:sz w:val="21"/>
                <w:szCs w:val="21"/>
                <w:lang w:val="en-US" w:eastAsia="zh-CN"/>
              </w:rPr>
              <w:t>按照附录B制备熟化马铃薯</w:t>
            </w:r>
          </w:p>
        </w:tc>
        <w:tc>
          <w:tcPr>
            <w:tcW w:w="1796" w:type="pct"/>
            <w:tcBorders>
              <w:tl2br w:val="nil"/>
              <w:tr2bl w:val="nil"/>
            </w:tcBorders>
            <w:shd w:val="clear" w:color="auto" w:fill="auto"/>
            <w:vAlign w:val="center"/>
          </w:tcPr>
          <w:p w14:paraId="62764494">
            <w:pPr>
              <w:pStyle w:val="11"/>
              <w:keepNext w:val="0"/>
              <w:keepLines w:val="0"/>
              <w:pageBreakBefore w:val="0"/>
              <w:widowControl/>
              <w:kinsoku/>
              <w:wordWrap/>
              <w:overflowPunct/>
              <w:topLinePunct w:val="0"/>
              <w:autoSpaceDE w:val="0"/>
              <w:autoSpaceDN w:val="0"/>
              <w:bidi w:val="0"/>
              <w:adjustRightInd/>
              <w:snapToGrid/>
              <w:spacing w:beforeAutospacing="0" w:afterAutospacing="0"/>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立即测定。</w:t>
            </w:r>
          </w:p>
        </w:tc>
      </w:tr>
    </w:tbl>
    <w:p w14:paraId="0D3605B1">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b/>
          <w:bCs/>
          <w:kern w:val="0"/>
          <w:sz w:val="28"/>
          <w:szCs w:val="28"/>
          <w:lang w:val="en-US" w:eastAsia="zh-CN" w:bidi="ar-SA"/>
        </w:rPr>
        <w:t>2.4评价指标和样品验证</w:t>
      </w:r>
    </w:p>
    <w:p w14:paraId="7764F31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指标选择来源主要依据</w:t>
      </w:r>
      <w:r>
        <w:rPr>
          <w:rFonts w:hint="eastAsia" w:ascii="仿宋" w:hAnsi="仿宋" w:eastAsia="仿宋"/>
          <w:sz w:val="28"/>
          <w:szCs w:val="28"/>
          <w:lang w:val="en-US" w:eastAsia="zh-CN"/>
        </w:rPr>
        <w:t>《内蒙古马铃薯品质评鉴总结报告》（2020年至2023年），结果显示</w:t>
      </w:r>
      <w:r>
        <w:rPr>
          <w:rFonts w:hint="eastAsia" w:ascii="仿宋" w:hAnsi="仿宋" w:eastAsia="仿宋" w:cs="Times New Roman"/>
          <w:kern w:val="0"/>
          <w:sz w:val="28"/>
          <w:szCs w:val="28"/>
          <w:lang w:val="en-US" w:eastAsia="zh-CN" w:bidi="ar-SA"/>
        </w:rPr>
        <w:t>内蒙古马铃薯在、氨基酸、支链淀粉、维生素C、矿质元素、挥发性风味物质的含量和组成上具有地区产品优势。</w:t>
      </w:r>
    </w:p>
    <w:p w14:paraId="60F58E0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p>
    <w:p w14:paraId="27375AD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default" w:ascii="仿宋" w:hAnsi="仿宋" w:eastAsia="仿宋" w:cs="Times New Roman"/>
          <w:kern w:val="0"/>
          <w:sz w:val="28"/>
          <w:szCs w:val="28"/>
          <w:lang w:val="en-US" w:eastAsia="zh-CN" w:bidi="ar-SA"/>
        </w:rPr>
      </w:pPr>
    </w:p>
    <w:p w14:paraId="6F2425C3">
      <w:pPr>
        <w:keepNext w:val="0"/>
        <w:keepLines w:val="0"/>
        <w:pageBreakBefore w:val="0"/>
        <w:kinsoku/>
        <w:wordWrap/>
        <w:overflowPunct/>
        <w:topLinePunct w:val="0"/>
        <w:bidi w:val="0"/>
        <w:adjustRightInd/>
        <w:snapToGrid/>
        <w:spacing w:beforeAutospacing="0" w:afterAutospacing="0"/>
        <w:ind w:firstLine="48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eastAsiaTheme="minorEastAsia" w:cstheme="minorEastAsia"/>
          <w:b/>
          <w:bCs/>
          <w:sz w:val="24"/>
          <w:szCs w:val="24"/>
          <w:lang w:val="en-US" w:eastAsia="zh-CN"/>
        </w:rPr>
        <w:t>表</w:t>
      </w:r>
      <w:r>
        <w:rPr>
          <w:rFonts w:hint="eastAsia" w:asciiTheme="minorEastAsia" w:hAnsiTheme="minorEastAsia" w:cstheme="minorEastAsia"/>
          <w:b/>
          <w:bCs/>
          <w:sz w:val="24"/>
          <w:szCs w:val="24"/>
          <w:lang w:val="en-US" w:eastAsia="zh-CN"/>
        </w:rPr>
        <w:t>3</w:t>
      </w:r>
      <w:r>
        <w:rPr>
          <w:rFonts w:hint="eastAsia" w:asciiTheme="minorEastAsia" w:hAnsiTheme="minorEastAsia" w:eastAsiaTheme="minorEastAsia" w:cstheme="minorEastAsia"/>
          <w:b/>
          <w:bCs/>
          <w:sz w:val="24"/>
          <w:szCs w:val="24"/>
          <w:lang w:val="en-US" w:eastAsia="zh-CN"/>
        </w:rPr>
        <w:t xml:space="preserve">  内蒙古马铃薯</w:t>
      </w:r>
      <w:r>
        <w:rPr>
          <w:rFonts w:hint="eastAsia" w:asciiTheme="minorEastAsia" w:hAnsiTheme="minorEastAsia" w:cstheme="minorEastAsia"/>
          <w:b/>
          <w:bCs/>
          <w:sz w:val="24"/>
          <w:szCs w:val="24"/>
          <w:lang w:val="en-US" w:eastAsia="zh-CN"/>
        </w:rPr>
        <w:t>品质评价数据统计量</w:t>
      </w:r>
    </w:p>
    <w:tbl>
      <w:tblPr>
        <w:tblStyle w:val="6"/>
        <w:tblW w:w="8837"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82"/>
        <w:gridCol w:w="1225"/>
        <w:gridCol w:w="2047"/>
        <w:gridCol w:w="2536"/>
        <w:gridCol w:w="2047"/>
      </w:tblGrid>
      <w:tr w14:paraId="057442E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8" w:hRule="atLeast"/>
        </w:trPr>
        <w:tc>
          <w:tcPr>
            <w:tcW w:w="0" w:type="auto"/>
            <w:tcBorders>
              <w:bottom w:val="single" w:color="auto" w:sz="4" w:space="0"/>
            </w:tcBorders>
            <w:shd w:val="clear" w:color="auto" w:fill="FFFFFF"/>
            <w:tcMar>
              <w:top w:w="72" w:type="dxa"/>
              <w:left w:w="144" w:type="dxa"/>
              <w:bottom w:w="72" w:type="dxa"/>
              <w:right w:w="144" w:type="dxa"/>
            </w:tcMar>
            <w:vAlign w:val="center"/>
          </w:tcPr>
          <w:p w14:paraId="239BD5C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产品</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414F1DD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年度</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1C4B318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样品量（批次）</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0EEF5BF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测定指标数量（个）</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2CE95EE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年度合计（个）</w:t>
            </w:r>
          </w:p>
        </w:tc>
      </w:tr>
      <w:tr w14:paraId="572DA40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92" w:hRule="atLeast"/>
        </w:trPr>
        <w:tc>
          <w:tcPr>
            <w:tcW w:w="0" w:type="auto"/>
            <w:vMerge w:val="restart"/>
            <w:tcBorders>
              <w:top w:val="single" w:color="auto" w:sz="4" w:space="0"/>
              <w:tl2br w:val="nil"/>
              <w:tr2bl w:val="nil"/>
            </w:tcBorders>
            <w:shd w:val="clear" w:color="auto" w:fill="FFFFFF"/>
            <w:tcMar>
              <w:left w:w="108" w:type="dxa"/>
              <w:right w:w="108" w:type="dxa"/>
            </w:tcMar>
            <w:vAlign w:val="center"/>
          </w:tcPr>
          <w:p w14:paraId="24CCFF6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马铃薯</w:t>
            </w:r>
          </w:p>
        </w:tc>
        <w:tc>
          <w:tcPr>
            <w:tcW w:w="0" w:type="auto"/>
            <w:tcBorders>
              <w:top w:val="single" w:color="auto" w:sz="4" w:space="0"/>
              <w:tl2br w:val="nil"/>
              <w:tr2bl w:val="nil"/>
            </w:tcBorders>
            <w:shd w:val="clear" w:color="auto" w:fill="FFFFFF"/>
            <w:tcMar>
              <w:left w:w="108" w:type="dxa"/>
              <w:right w:w="108" w:type="dxa"/>
            </w:tcMar>
            <w:vAlign w:val="center"/>
          </w:tcPr>
          <w:p w14:paraId="74B6E8F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2020年</w:t>
            </w:r>
          </w:p>
        </w:tc>
        <w:tc>
          <w:tcPr>
            <w:tcW w:w="0" w:type="auto"/>
            <w:tcBorders>
              <w:top w:val="single" w:color="auto" w:sz="4" w:space="0"/>
              <w:tl2br w:val="nil"/>
              <w:tr2bl w:val="nil"/>
            </w:tcBorders>
            <w:shd w:val="clear" w:color="auto" w:fill="FFFFFF"/>
            <w:tcMar>
              <w:left w:w="108" w:type="dxa"/>
              <w:right w:w="108" w:type="dxa"/>
            </w:tcMar>
            <w:vAlign w:val="center"/>
          </w:tcPr>
          <w:p w14:paraId="7167645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150</w:t>
            </w:r>
          </w:p>
        </w:tc>
        <w:tc>
          <w:tcPr>
            <w:tcW w:w="0" w:type="auto"/>
            <w:tcBorders>
              <w:top w:val="single" w:color="auto" w:sz="4" w:space="0"/>
              <w:tl2br w:val="nil"/>
              <w:tr2bl w:val="nil"/>
            </w:tcBorders>
            <w:shd w:val="clear" w:color="auto" w:fill="FFFFFF"/>
            <w:tcMar>
              <w:left w:w="108" w:type="dxa"/>
              <w:right w:w="108" w:type="dxa"/>
            </w:tcMar>
            <w:vAlign w:val="center"/>
          </w:tcPr>
          <w:p w14:paraId="3D4865A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45</w:t>
            </w:r>
          </w:p>
        </w:tc>
        <w:tc>
          <w:tcPr>
            <w:tcW w:w="0" w:type="auto"/>
            <w:tcBorders>
              <w:top w:val="single" w:color="auto" w:sz="4" w:space="0"/>
              <w:tl2br w:val="nil"/>
              <w:tr2bl w:val="nil"/>
            </w:tcBorders>
            <w:shd w:val="clear" w:color="auto" w:fill="FFFFFF"/>
            <w:tcMar>
              <w:left w:w="108" w:type="dxa"/>
              <w:right w:w="108" w:type="dxa"/>
            </w:tcMar>
            <w:vAlign w:val="center"/>
          </w:tcPr>
          <w:p w14:paraId="0716C8B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6750</w:t>
            </w:r>
          </w:p>
        </w:tc>
      </w:tr>
      <w:tr w14:paraId="1B8BC7F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3" w:hRule="atLeast"/>
        </w:trPr>
        <w:tc>
          <w:tcPr>
            <w:tcW w:w="0" w:type="auto"/>
            <w:vMerge w:val="continue"/>
            <w:tcBorders>
              <w:tl2br w:val="nil"/>
              <w:tr2bl w:val="nil"/>
            </w:tcBorders>
            <w:shd w:val="clear" w:color="auto" w:fill="FFFFFF"/>
            <w:tcMar>
              <w:left w:w="108" w:type="dxa"/>
              <w:right w:w="108" w:type="dxa"/>
            </w:tcMar>
            <w:vAlign w:val="center"/>
          </w:tcPr>
          <w:p w14:paraId="7276ABE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p>
        </w:tc>
        <w:tc>
          <w:tcPr>
            <w:tcW w:w="0" w:type="auto"/>
            <w:tcBorders>
              <w:tl2br w:val="nil"/>
              <w:tr2bl w:val="nil"/>
            </w:tcBorders>
            <w:shd w:val="clear" w:color="auto" w:fill="FFFFFF"/>
            <w:tcMar>
              <w:left w:w="108" w:type="dxa"/>
              <w:right w:w="108" w:type="dxa"/>
            </w:tcMar>
            <w:vAlign w:val="center"/>
          </w:tcPr>
          <w:p w14:paraId="0AEA1E8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2021年</w:t>
            </w:r>
          </w:p>
        </w:tc>
        <w:tc>
          <w:tcPr>
            <w:tcW w:w="0" w:type="auto"/>
            <w:tcBorders>
              <w:tl2br w:val="nil"/>
              <w:tr2bl w:val="nil"/>
            </w:tcBorders>
            <w:shd w:val="clear" w:color="auto" w:fill="FFFFFF"/>
            <w:tcMar>
              <w:left w:w="108" w:type="dxa"/>
              <w:right w:w="108" w:type="dxa"/>
            </w:tcMar>
            <w:vAlign w:val="center"/>
          </w:tcPr>
          <w:p w14:paraId="18139D9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63</w:t>
            </w:r>
          </w:p>
        </w:tc>
        <w:tc>
          <w:tcPr>
            <w:tcW w:w="0" w:type="auto"/>
            <w:tcBorders>
              <w:tl2br w:val="nil"/>
              <w:tr2bl w:val="nil"/>
            </w:tcBorders>
            <w:shd w:val="clear" w:color="auto" w:fill="FFFFFF"/>
            <w:tcMar>
              <w:left w:w="108" w:type="dxa"/>
              <w:right w:w="108" w:type="dxa"/>
            </w:tcMar>
            <w:vAlign w:val="center"/>
          </w:tcPr>
          <w:p w14:paraId="7A9BBCD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38</w:t>
            </w:r>
          </w:p>
        </w:tc>
        <w:tc>
          <w:tcPr>
            <w:tcW w:w="0" w:type="auto"/>
            <w:tcBorders>
              <w:tl2br w:val="nil"/>
              <w:tr2bl w:val="nil"/>
            </w:tcBorders>
            <w:shd w:val="clear" w:color="auto" w:fill="FFFFFF"/>
            <w:tcMar>
              <w:left w:w="108" w:type="dxa"/>
              <w:right w:w="108" w:type="dxa"/>
            </w:tcMar>
            <w:vAlign w:val="center"/>
          </w:tcPr>
          <w:p w14:paraId="6ACC8D1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2394</w:t>
            </w:r>
          </w:p>
        </w:tc>
      </w:tr>
      <w:tr w14:paraId="475FD16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3" w:hRule="atLeast"/>
        </w:trPr>
        <w:tc>
          <w:tcPr>
            <w:tcW w:w="0" w:type="auto"/>
            <w:vMerge w:val="continue"/>
            <w:tcBorders>
              <w:tl2br w:val="nil"/>
              <w:tr2bl w:val="nil"/>
            </w:tcBorders>
            <w:shd w:val="clear" w:color="auto" w:fill="FFFFFF"/>
            <w:tcMar>
              <w:left w:w="108" w:type="dxa"/>
              <w:right w:w="108" w:type="dxa"/>
            </w:tcMar>
            <w:vAlign w:val="center"/>
          </w:tcPr>
          <w:p w14:paraId="7690B33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p>
        </w:tc>
        <w:tc>
          <w:tcPr>
            <w:tcW w:w="0" w:type="auto"/>
            <w:tcBorders>
              <w:tl2br w:val="nil"/>
              <w:tr2bl w:val="nil"/>
            </w:tcBorders>
            <w:shd w:val="clear" w:color="auto" w:fill="FFFFFF"/>
            <w:tcMar>
              <w:left w:w="108" w:type="dxa"/>
              <w:right w:w="108" w:type="dxa"/>
            </w:tcMar>
            <w:vAlign w:val="center"/>
          </w:tcPr>
          <w:p w14:paraId="641302B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2022年</w:t>
            </w:r>
          </w:p>
        </w:tc>
        <w:tc>
          <w:tcPr>
            <w:tcW w:w="0" w:type="auto"/>
            <w:tcBorders>
              <w:tl2br w:val="nil"/>
              <w:tr2bl w:val="nil"/>
            </w:tcBorders>
            <w:shd w:val="clear" w:color="auto" w:fill="FFFFFF"/>
            <w:tcMar>
              <w:left w:w="108" w:type="dxa"/>
              <w:right w:w="108" w:type="dxa"/>
            </w:tcMar>
            <w:vAlign w:val="center"/>
          </w:tcPr>
          <w:p w14:paraId="1EA1EC6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131</w:t>
            </w:r>
          </w:p>
        </w:tc>
        <w:tc>
          <w:tcPr>
            <w:tcW w:w="0" w:type="auto"/>
            <w:tcBorders>
              <w:tl2br w:val="nil"/>
              <w:tr2bl w:val="nil"/>
            </w:tcBorders>
            <w:shd w:val="clear" w:color="auto" w:fill="FFFFFF"/>
            <w:tcMar>
              <w:left w:w="108" w:type="dxa"/>
              <w:right w:w="108" w:type="dxa"/>
            </w:tcMar>
            <w:vAlign w:val="center"/>
          </w:tcPr>
          <w:p w14:paraId="4BC5325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33</w:t>
            </w:r>
          </w:p>
        </w:tc>
        <w:tc>
          <w:tcPr>
            <w:tcW w:w="0" w:type="auto"/>
            <w:tcBorders>
              <w:tl2br w:val="nil"/>
              <w:tr2bl w:val="nil"/>
            </w:tcBorders>
            <w:shd w:val="clear" w:color="auto" w:fill="FFFFFF"/>
            <w:tcMar>
              <w:left w:w="108" w:type="dxa"/>
              <w:right w:w="108" w:type="dxa"/>
            </w:tcMar>
            <w:vAlign w:val="center"/>
          </w:tcPr>
          <w:p w14:paraId="208DDCB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4323</w:t>
            </w:r>
          </w:p>
        </w:tc>
      </w:tr>
      <w:tr w14:paraId="7864198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7" w:hRule="atLeast"/>
        </w:trPr>
        <w:tc>
          <w:tcPr>
            <w:tcW w:w="0" w:type="auto"/>
            <w:vMerge w:val="continue"/>
            <w:tcBorders>
              <w:tl2br w:val="nil"/>
              <w:tr2bl w:val="nil"/>
            </w:tcBorders>
            <w:shd w:val="clear" w:color="auto" w:fill="FFFFFF"/>
            <w:tcMar>
              <w:left w:w="108" w:type="dxa"/>
              <w:right w:w="108" w:type="dxa"/>
            </w:tcMar>
            <w:vAlign w:val="center"/>
          </w:tcPr>
          <w:p w14:paraId="360C6E5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p>
        </w:tc>
        <w:tc>
          <w:tcPr>
            <w:tcW w:w="0" w:type="auto"/>
            <w:tcBorders>
              <w:tl2br w:val="nil"/>
              <w:tr2bl w:val="nil"/>
            </w:tcBorders>
            <w:shd w:val="clear" w:color="auto" w:fill="FFFFFF"/>
            <w:tcMar>
              <w:left w:w="108" w:type="dxa"/>
              <w:right w:w="108" w:type="dxa"/>
            </w:tcMar>
            <w:vAlign w:val="center"/>
          </w:tcPr>
          <w:p w14:paraId="19EBCDC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三年合计</w:t>
            </w:r>
          </w:p>
        </w:tc>
        <w:tc>
          <w:tcPr>
            <w:tcW w:w="0" w:type="auto"/>
            <w:tcBorders>
              <w:tl2br w:val="nil"/>
              <w:tr2bl w:val="nil"/>
            </w:tcBorders>
            <w:shd w:val="clear" w:color="auto" w:fill="FFFFFF"/>
            <w:tcMar>
              <w:left w:w="108" w:type="dxa"/>
              <w:right w:w="108" w:type="dxa"/>
            </w:tcMar>
            <w:vAlign w:val="center"/>
          </w:tcPr>
          <w:p w14:paraId="723BFFE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344</w:t>
            </w:r>
          </w:p>
        </w:tc>
        <w:tc>
          <w:tcPr>
            <w:tcW w:w="0" w:type="auto"/>
            <w:tcBorders>
              <w:tl2br w:val="nil"/>
              <w:tr2bl w:val="nil"/>
            </w:tcBorders>
            <w:shd w:val="clear" w:color="auto" w:fill="FFFFFF"/>
            <w:tcMar>
              <w:left w:w="108" w:type="dxa"/>
              <w:right w:w="108" w:type="dxa"/>
            </w:tcMar>
            <w:vAlign w:val="center"/>
          </w:tcPr>
          <w:p w14:paraId="507BE7B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123（有重复）</w:t>
            </w:r>
          </w:p>
        </w:tc>
        <w:tc>
          <w:tcPr>
            <w:tcW w:w="0" w:type="auto"/>
            <w:tcBorders>
              <w:tl2br w:val="nil"/>
              <w:tr2bl w:val="nil"/>
            </w:tcBorders>
            <w:shd w:val="clear" w:color="auto" w:fill="FFFFFF"/>
            <w:tcMar>
              <w:left w:w="108" w:type="dxa"/>
              <w:right w:w="108" w:type="dxa"/>
            </w:tcMar>
            <w:vAlign w:val="center"/>
          </w:tcPr>
          <w:p w14:paraId="348D353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13467</w:t>
            </w:r>
          </w:p>
        </w:tc>
      </w:tr>
    </w:tbl>
    <w:p w14:paraId="48CB8C6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jc w:val="left"/>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表4和图1显示在蛋白和氨基酸含量上，内蒙古优于河北地区产品，乌兰察布地标产品游离氨基酸含量优势明显。</w:t>
      </w:r>
    </w:p>
    <w:p w14:paraId="639A5BFF">
      <w:pPr>
        <w:keepNext w:val="0"/>
        <w:keepLines w:val="0"/>
        <w:pageBreakBefore w:val="0"/>
        <w:kinsoku/>
        <w:wordWrap/>
        <w:overflowPunct/>
        <w:topLinePunct w:val="0"/>
        <w:bidi w:val="0"/>
        <w:adjustRightInd/>
        <w:snapToGrid/>
        <w:spacing w:beforeAutospacing="0" w:afterAutospacing="0"/>
        <w:ind w:firstLine="482" w:firstLineChars="200"/>
        <w:jc w:val="center"/>
        <w:textAlignment w:val="auto"/>
        <w:rPr>
          <w:rFonts w:hint="default"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4"/>
          <w:szCs w:val="24"/>
          <w:lang w:val="en-US" w:eastAsia="zh-CN"/>
        </w:rPr>
        <w:t>表</w:t>
      </w:r>
      <w:r>
        <w:rPr>
          <w:rFonts w:hint="eastAsia" w:asciiTheme="minorEastAsia" w:hAnsiTheme="minorEastAsia" w:cstheme="minorEastAsia"/>
          <w:b/>
          <w:bCs/>
          <w:sz w:val="24"/>
          <w:szCs w:val="24"/>
          <w:lang w:val="en-US" w:eastAsia="zh-CN"/>
        </w:rPr>
        <w:t>4</w:t>
      </w:r>
      <w:r>
        <w:rPr>
          <w:rFonts w:hint="eastAsia" w:asciiTheme="minorEastAsia" w:hAnsiTheme="minorEastAsia" w:eastAsiaTheme="minorEastAsia" w:cstheme="minorEastAsia"/>
          <w:b/>
          <w:bCs/>
          <w:sz w:val="24"/>
          <w:szCs w:val="24"/>
          <w:lang w:val="en-US" w:eastAsia="zh-CN"/>
        </w:rPr>
        <w:t xml:space="preserve">  内蒙古马铃薯蛋白和氨基酸含量</w:t>
      </w:r>
    </w:p>
    <w:tbl>
      <w:tblPr>
        <w:tblStyle w:val="6"/>
        <w:tblpPr w:leftFromText="180" w:rightFromText="180" w:vertAnchor="text" w:horzAnchor="page" w:tblpX="1667" w:tblpY="173"/>
        <w:tblOverlap w:val="never"/>
        <w:tblW w:w="5349" w:type="pct"/>
        <w:tblInd w:w="0" w:type="dxa"/>
        <w:tblBorders>
          <w:top w:val="single" w:color="000000" w:sz="4" w:space="0"/>
          <w:left w:val="none" w:color="auto" w:sz="0" w:space="0"/>
          <w:bottom w:val="single" w:color="000000" w:sz="4"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32"/>
        <w:gridCol w:w="1527"/>
        <w:gridCol w:w="2133"/>
        <w:gridCol w:w="2133"/>
        <w:gridCol w:w="1992"/>
      </w:tblGrid>
      <w:tr w14:paraId="20EBA63A">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84" w:hRule="atLeast"/>
        </w:trPr>
        <w:tc>
          <w:tcPr>
            <w:tcW w:w="730" w:type="pct"/>
            <w:tcBorders>
              <w:bottom w:val="single" w:color="000000" w:sz="4" w:space="0"/>
            </w:tcBorders>
            <w:shd w:val="clear" w:color="auto" w:fill="auto"/>
            <w:tcMar>
              <w:left w:w="108" w:type="dxa"/>
              <w:right w:w="108" w:type="dxa"/>
            </w:tcMar>
            <w:vAlign w:val="center"/>
          </w:tcPr>
          <w:p w14:paraId="2EB7B6D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地区</w:t>
            </w:r>
          </w:p>
        </w:tc>
        <w:tc>
          <w:tcPr>
            <w:tcW w:w="837" w:type="pct"/>
            <w:tcBorders>
              <w:bottom w:val="single" w:color="000000" w:sz="4" w:space="0"/>
            </w:tcBorders>
            <w:shd w:val="clear" w:color="auto" w:fill="auto"/>
            <w:tcMar>
              <w:left w:w="108" w:type="dxa"/>
              <w:right w:w="108" w:type="dxa"/>
            </w:tcMar>
            <w:vAlign w:val="center"/>
          </w:tcPr>
          <w:p w14:paraId="6B92BDA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rPr>
              <w:t>CP（FW%）</w:t>
            </w:r>
          </w:p>
        </w:tc>
        <w:tc>
          <w:tcPr>
            <w:tcW w:w="1169" w:type="pct"/>
            <w:tcBorders>
              <w:bottom w:val="single" w:color="000000" w:sz="4" w:space="0"/>
            </w:tcBorders>
            <w:shd w:val="clear" w:color="auto" w:fill="auto"/>
            <w:tcMar>
              <w:left w:w="108" w:type="dxa"/>
              <w:right w:w="108" w:type="dxa"/>
            </w:tcMar>
            <w:vAlign w:val="center"/>
          </w:tcPr>
          <w:p w14:paraId="2C2D2E8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rPr>
              <w:t>TAA(mg/g˙pro)</w:t>
            </w:r>
          </w:p>
        </w:tc>
        <w:tc>
          <w:tcPr>
            <w:tcW w:w="1169" w:type="pct"/>
            <w:tcBorders>
              <w:bottom w:val="single" w:color="000000" w:sz="4" w:space="0"/>
            </w:tcBorders>
            <w:shd w:val="clear" w:color="auto" w:fill="auto"/>
            <w:tcMar>
              <w:left w:w="108" w:type="dxa"/>
              <w:right w:w="108" w:type="dxa"/>
            </w:tcMar>
            <w:vAlign w:val="center"/>
          </w:tcPr>
          <w:p w14:paraId="50F7D2D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rPr>
              <w:t>EAA(mg/g˙pro)</w:t>
            </w:r>
          </w:p>
        </w:tc>
        <w:tc>
          <w:tcPr>
            <w:tcW w:w="1092" w:type="pct"/>
            <w:tcBorders>
              <w:bottom w:val="single" w:color="000000" w:sz="4" w:space="0"/>
            </w:tcBorders>
            <w:shd w:val="clear" w:color="auto" w:fill="auto"/>
            <w:tcMar>
              <w:left w:w="108" w:type="dxa"/>
              <w:right w:w="108" w:type="dxa"/>
            </w:tcMar>
            <w:vAlign w:val="center"/>
          </w:tcPr>
          <w:p w14:paraId="3CF9BD9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rPr>
              <w:t>EAA/TAA(%)</w:t>
            </w:r>
          </w:p>
        </w:tc>
      </w:tr>
      <w:tr w14:paraId="108B8702">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57" w:hRule="atLeast"/>
        </w:trPr>
        <w:tc>
          <w:tcPr>
            <w:tcW w:w="730" w:type="pct"/>
            <w:tcBorders>
              <w:top w:val="single" w:color="000000" w:sz="4" w:space="0"/>
              <w:tl2br w:val="nil"/>
              <w:tr2bl w:val="nil"/>
            </w:tcBorders>
            <w:shd w:val="clear" w:color="auto" w:fill="auto"/>
            <w:tcMar>
              <w:left w:w="108" w:type="dxa"/>
              <w:right w:w="108" w:type="dxa"/>
            </w:tcMar>
            <w:vAlign w:val="center"/>
          </w:tcPr>
          <w:p w14:paraId="3B77709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rPr>
              <w:t>内蒙古</w:t>
            </w:r>
          </w:p>
        </w:tc>
        <w:tc>
          <w:tcPr>
            <w:tcW w:w="837" w:type="pct"/>
            <w:tcBorders>
              <w:top w:val="single" w:color="000000" w:sz="4" w:space="0"/>
              <w:tl2br w:val="nil"/>
              <w:tr2bl w:val="nil"/>
            </w:tcBorders>
            <w:shd w:val="clear" w:color="auto" w:fill="auto"/>
            <w:tcMar>
              <w:left w:w="108" w:type="dxa"/>
              <w:right w:w="108" w:type="dxa"/>
            </w:tcMar>
            <w:vAlign w:val="center"/>
          </w:tcPr>
          <w:p w14:paraId="3A28C42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1.9±0.03</w:t>
            </w:r>
            <w:r>
              <w:rPr>
                <w:rFonts w:hint="eastAsia" w:asciiTheme="minorEastAsia" w:hAnsiTheme="minorEastAsia" w:eastAsiaTheme="minorEastAsia" w:cstheme="minorEastAsia"/>
                <w:color w:val="000000"/>
                <w:sz w:val="21"/>
                <w:szCs w:val="21"/>
                <w:vertAlign w:val="superscript"/>
              </w:rPr>
              <w:t>a</w:t>
            </w:r>
          </w:p>
        </w:tc>
        <w:tc>
          <w:tcPr>
            <w:tcW w:w="1169" w:type="pct"/>
            <w:tcBorders>
              <w:top w:val="single" w:color="000000" w:sz="4" w:space="0"/>
              <w:tl2br w:val="nil"/>
              <w:tr2bl w:val="nil"/>
            </w:tcBorders>
            <w:shd w:val="clear" w:color="auto" w:fill="auto"/>
            <w:tcMar>
              <w:left w:w="108" w:type="dxa"/>
              <w:right w:w="108" w:type="dxa"/>
            </w:tcMar>
            <w:vAlign w:val="center"/>
          </w:tcPr>
          <w:p w14:paraId="636ED95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536.1±12.3</w:t>
            </w:r>
            <w:r>
              <w:rPr>
                <w:rFonts w:hint="eastAsia" w:asciiTheme="minorEastAsia" w:hAnsiTheme="minorEastAsia" w:eastAsiaTheme="minorEastAsia" w:cstheme="minorEastAsia"/>
                <w:color w:val="000000"/>
                <w:sz w:val="21"/>
                <w:szCs w:val="21"/>
                <w:vertAlign w:val="superscript"/>
              </w:rPr>
              <w:t>a</w:t>
            </w:r>
          </w:p>
        </w:tc>
        <w:tc>
          <w:tcPr>
            <w:tcW w:w="1169" w:type="pct"/>
            <w:tcBorders>
              <w:top w:val="single" w:color="000000" w:sz="4" w:space="0"/>
              <w:tl2br w:val="nil"/>
              <w:tr2bl w:val="nil"/>
            </w:tcBorders>
            <w:shd w:val="clear" w:color="auto" w:fill="auto"/>
            <w:tcMar>
              <w:left w:w="108" w:type="dxa"/>
              <w:right w:w="108" w:type="dxa"/>
            </w:tcMar>
            <w:vAlign w:val="center"/>
          </w:tcPr>
          <w:p w14:paraId="3ACA36A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238.2±7.3</w:t>
            </w:r>
            <w:r>
              <w:rPr>
                <w:rFonts w:hint="eastAsia" w:asciiTheme="minorEastAsia" w:hAnsiTheme="minorEastAsia" w:eastAsiaTheme="minorEastAsia" w:cstheme="minorEastAsia"/>
                <w:color w:val="000000"/>
                <w:sz w:val="21"/>
                <w:szCs w:val="21"/>
                <w:vertAlign w:val="superscript"/>
              </w:rPr>
              <w:t>a</w:t>
            </w:r>
          </w:p>
        </w:tc>
        <w:tc>
          <w:tcPr>
            <w:tcW w:w="1092" w:type="pct"/>
            <w:tcBorders>
              <w:top w:val="single" w:color="000000" w:sz="4" w:space="0"/>
              <w:tl2br w:val="nil"/>
              <w:tr2bl w:val="nil"/>
            </w:tcBorders>
            <w:shd w:val="clear" w:color="auto" w:fill="auto"/>
            <w:tcMar>
              <w:left w:w="108" w:type="dxa"/>
              <w:right w:w="108" w:type="dxa"/>
            </w:tcMar>
            <w:vAlign w:val="center"/>
          </w:tcPr>
          <w:p w14:paraId="424786E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34.5～59.5</w:t>
            </w:r>
          </w:p>
        </w:tc>
      </w:tr>
      <w:tr w14:paraId="51B88A13">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4" w:hRule="atLeast"/>
        </w:trPr>
        <w:tc>
          <w:tcPr>
            <w:tcW w:w="730" w:type="pct"/>
            <w:tcBorders>
              <w:tl2br w:val="nil"/>
              <w:tr2bl w:val="nil"/>
            </w:tcBorders>
            <w:shd w:val="clear" w:color="auto" w:fill="auto"/>
            <w:tcMar>
              <w:left w:w="108" w:type="dxa"/>
              <w:right w:w="108" w:type="dxa"/>
            </w:tcMar>
            <w:vAlign w:val="center"/>
          </w:tcPr>
          <w:p w14:paraId="4D0BDD7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rPr>
              <w:t>甘肃省</w:t>
            </w:r>
          </w:p>
        </w:tc>
        <w:tc>
          <w:tcPr>
            <w:tcW w:w="837" w:type="pct"/>
            <w:tcBorders>
              <w:tl2br w:val="nil"/>
              <w:tr2bl w:val="nil"/>
            </w:tcBorders>
            <w:shd w:val="clear" w:color="auto" w:fill="auto"/>
            <w:tcMar>
              <w:left w:w="108" w:type="dxa"/>
              <w:right w:w="108" w:type="dxa"/>
            </w:tcMar>
            <w:vAlign w:val="center"/>
          </w:tcPr>
          <w:p w14:paraId="01A00A5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2.08±0.1</w:t>
            </w:r>
            <w:r>
              <w:rPr>
                <w:rFonts w:hint="eastAsia" w:asciiTheme="minorEastAsia" w:hAnsiTheme="minorEastAsia" w:eastAsiaTheme="minorEastAsia" w:cstheme="minorEastAsia"/>
                <w:color w:val="000000"/>
                <w:sz w:val="21"/>
                <w:szCs w:val="21"/>
                <w:vertAlign w:val="superscript"/>
              </w:rPr>
              <w:t>a</w:t>
            </w:r>
          </w:p>
        </w:tc>
        <w:tc>
          <w:tcPr>
            <w:tcW w:w="1169" w:type="pct"/>
            <w:tcBorders>
              <w:tl2br w:val="nil"/>
              <w:tr2bl w:val="nil"/>
            </w:tcBorders>
            <w:shd w:val="clear" w:color="auto" w:fill="auto"/>
            <w:tcMar>
              <w:left w:w="108" w:type="dxa"/>
              <w:right w:w="108" w:type="dxa"/>
            </w:tcMar>
            <w:vAlign w:val="center"/>
          </w:tcPr>
          <w:p w14:paraId="61EFCE5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516.5±27.7</w:t>
            </w:r>
            <w:r>
              <w:rPr>
                <w:rFonts w:hint="eastAsia" w:asciiTheme="minorEastAsia" w:hAnsiTheme="minorEastAsia" w:eastAsiaTheme="minorEastAsia" w:cstheme="minorEastAsia"/>
                <w:color w:val="000000"/>
                <w:sz w:val="21"/>
                <w:szCs w:val="21"/>
                <w:vertAlign w:val="superscript"/>
              </w:rPr>
              <w:t>a</w:t>
            </w:r>
          </w:p>
        </w:tc>
        <w:tc>
          <w:tcPr>
            <w:tcW w:w="1169" w:type="pct"/>
            <w:tcBorders>
              <w:tl2br w:val="nil"/>
              <w:tr2bl w:val="nil"/>
            </w:tcBorders>
            <w:shd w:val="clear" w:color="auto" w:fill="auto"/>
            <w:tcMar>
              <w:left w:w="108" w:type="dxa"/>
              <w:right w:w="108" w:type="dxa"/>
            </w:tcMar>
            <w:vAlign w:val="center"/>
          </w:tcPr>
          <w:p w14:paraId="449B8BA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235.3±21.5</w:t>
            </w:r>
            <w:r>
              <w:rPr>
                <w:rFonts w:hint="eastAsia" w:asciiTheme="minorEastAsia" w:hAnsiTheme="minorEastAsia" w:eastAsiaTheme="minorEastAsia" w:cstheme="minorEastAsia"/>
                <w:color w:val="000000"/>
                <w:sz w:val="21"/>
                <w:szCs w:val="21"/>
                <w:vertAlign w:val="superscript"/>
              </w:rPr>
              <w:t>a</w:t>
            </w:r>
          </w:p>
        </w:tc>
        <w:tc>
          <w:tcPr>
            <w:tcW w:w="1092" w:type="pct"/>
            <w:tcBorders>
              <w:tl2br w:val="nil"/>
              <w:tr2bl w:val="nil"/>
            </w:tcBorders>
            <w:shd w:val="clear" w:color="auto" w:fill="auto"/>
            <w:tcMar>
              <w:left w:w="108" w:type="dxa"/>
              <w:right w:w="108" w:type="dxa"/>
            </w:tcMar>
            <w:vAlign w:val="center"/>
          </w:tcPr>
          <w:p w14:paraId="7944D3B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33.2～59.5</w:t>
            </w:r>
          </w:p>
        </w:tc>
      </w:tr>
      <w:tr w14:paraId="67D0DC72">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4" w:hRule="atLeast"/>
        </w:trPr>
        <w:tc>
          <w:tcPr>
            <w:tcW w:w="730" w:type="pct"/>
            <w:tcBorders>
              <w:tl2br w:val="nil"/>
              <w:tr2bl w:val="nil"/>
            </w:tcBorders>
            <w:shd w:val="clear" w:color="auto" w:fill="auto"/>
            <w:tcMar>
              <w:left w:w="108" w:type="dxa"/>
              <w:right w:w="108" w:type="dxa"/>
            </w:tcMar>
            <w:vAlign w:val="center"/>
          </w:tcPr>
          <w:p w14:paraId="22F4BC9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rPr>
              <w:t>河北省</w:t>
            </w:r>
          </w:p>
        </w:tc>
        <w:tc>
          <w:tcPr>
            <w:tcW w:w="837" w:type="pct"/>
            <w:tcBorders>
              <w:tl2br w:val="nil"/>
              <w:tr2bl w:val="nil"/>
            </w:tcBorders>
            <w:shd w:val="clear" w:color="auto" w:fill="auto"/>
            <w:tcMar>
              <w:left w:w="108" w:type="dxa"/>
              <w:right w:w="108" w:type="dxa"/>
            </w:tcMar>
            <w:vAlign w:val="center"/>
          </w:tcPr>
          <w:p w14:paraId="5EAF29A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1.63±0.1</w:t>
            </w:r>
            <w:r>
              <w:rPr>
                <w:rFonts w:hint="eastAsia" w:asciiTheme="minorEastAsia" w:hAnsiTheme="minorEastAsia" w:eastAsiaTheme="minorEastAsia" w:cstheme="minorEastAsia"/>
                <w:color w:val="000000"/>
                <w:sz w:val="21"/>
                <w:szCs w:val="21"/>
                <w:vertAlign w:val="superscript"/>
              </w:rPr>
              <w:t>b</w:t>
            </w:r>
          </w:p>
        </w:tc>
        <w:tc>
          <w:tcPr>
            <w:tcW w:w="1169" w:type="pct"/>
            <w:tcBorders>
              <w:tl2br w:val="nil"/>
              <w:tr2bl w:val="nil"/>
            </w:tcBorders>
            <w:shd w:val="clear" w:color="auto" w:fill="auto"/>
            <w:tcMar>
              <w:left w:w="108" w:type="dxa"/>
              <w:right w:w="108" w:type="dxa"/>
            </w:tcMar>
            <w:vAlign w:val="center"/>
          </w:tcPr>
          <w:p w14:paraId="2572EC1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486.4±19.7</w:t>
            </w:r>
            <w:r>
              <w:rPr>
                <w:rFonts w:hint="eastAsia" w:asciiTheme="minorEastAsia" w:hAnsiTheme="minorEastAsia" w:eastAsiaTheme="minorEastAsia" w:cstheme="minorEastAsia"/>
                <w:color w:val="000000"/>
                <w:sz w:val="21"/>
                <w:szCs w:val="21"/>
                <w:vertAlign w:val="superscript"/>
              </w:rPr>
              <w:t>b</w:t>
            </w:r>
          </w:p>
        </w:tc>
        <w:tc>
          <w:tcPr>
            <w:tcW w:w="1169" w:type="pct"/>
            <w:tcBorders>
              <w:tl2br w:val="nil"/>
              <w:tr2bl w:val="nil"/>
            </w:tcBorders>
            <w:shd w:val="clear" w:color="auto" w:fill="auto"/>
            <w:tcMar>
              <w:left w:w="108" w:type="dxa"/>
              <w:right w:w="108" w:type="dxa"/>
            </w:tcMar>
            <w:vAlign w:val="center"/>
          </w:tcPr>
          <w:p w14:paraId="2C3ABE7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196.4±14.8</w:t>
            </w:r>
            <w:r>
              <w:rPr>
                <w:rFonts w:hint="eastAsia" w:asciiTheme="minorEastAsia" w:hAnsiTheme="minorEastAsia" w:eastAsiaTheme="minorEastAsia" w:cstheme="minorEastAsia"/>
                <w:color w:val="000000"/>
                <w:sz w:val="21"/>
                <w:szCs w:val="21"/>
                <w:vertAlign w:val="superscript"/>
              </w:rPr>
              <w:t>b</w:t>
            </w:r>
          </w:p>
        </w:tc>
        <w:tc>
          <w:tcPr>
            <w:tcW w:w="1092" w:type="pct"/>
            <w:tcBorders>
              <w:tl2br w:val="nil"/>
              <w:tr2bl w:val="nil"/>
            </w:tcBorders>
            <w:shd w:val="clear" w:color="auto" w:fill="auto"/>
            <w:tcMar>
              <w:left w:w="108" w:type="dxa"/>
              <w:right w:w="108" w:type="dxa"/>
            </w:tcMar>
            <w:vAlign w:val="center"/>
          </w:tcPr>
          <w:p w14:paraId="2E980F9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31.0～49.3</w:t>
            </w:r>
          </w:p>
        </w:tc>
      </w:tr>
      <w:tr w14:paraId="61CB4B30">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5" w:hRule="atLeast"/>
        </w:trPr>
        <w:tc>
          <w:tcPr>
            <w:tcW w:w="730" w:type="pct"/>
            <w:tcBorders>
              <w:tl2br w:val="nil"/>
              <w:tr2bl w:val="nil"/>
            </w:tcBorders>
            <w:shd w:val="clear" w:color="auto" w:fill="auto"/>
            <w:tcMar>
              <w:left w:w="108" w:type="dxa"/>
              <w:right w:w="108" w:type="dxa"/>
            </w:tcMar>
            <w:vAlign w:val="center"/>
          </w:tcPr>
          <w:p w14:paraId="01725BC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rPr>
              <w:t>贵州省</w:t>
            </w:r>
          </w:p>
        </w:tc>
        <w:tc>
          <w:tcPr>
            <w:tcW w:w="837" w:type="pct"/>
            <w:tcBorders>
              <w:tl2br w:val="nil"/>
              <w:tr2bl w:val="nil"/>
            </w:tcBorders>
            <w:shd w:val="clear" w:color="auto" w:fill="auto"/>
            <w:tcMar>
              <w:left w:w="108" w:type="dxa"/>
              <w:right w:w="108" w:type="dxa"/>
            </w:tcMar>
            <w:vAlign w:val="center"/>
          </w:tcPr>
          <w:p w14:paraId="2E52C29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1.94±0.04</w:t>
            </w:r>
            <w:r>
              <w:rPr>
                <w:rFonts w:hint="eastAsia" w:asciiTheme="minorEastAsia" w:hAnsiTheme="minorEastAsia" w:eastAsiaTheme="minorEastAsia" w:cstheme="minorEastAsia"/>
                <w:color w:val="000000"/>
                <w:sz w:val="21"/>
                <w:szCs w:val="21"/>
                <w:vertAlign w:val="superscript"/>
              </w:rPr>
              <w:t>a</w:t>
            </w:r>
          </w:p>
        </w:tc>
        <w:tc>
          <w:tcPr>
            <w:tcW w:w="1169" w:type="pct"/>
            <w:tcBorders>
              <w:tl2br w:val="nil"/>
              <w:tr2bl w:val="nil"/>
            </w:tcBorders>
            <w:shd w:val="clear" w:color="auto" w:fill="auto"/>
            <w:tcMar>
              <w:left w:w="108" w:type="dxa"/>
              <w:right w:w="108" w:type="dxa"/>
            </w:tcMar>
            <w:vAlign w:val="center"/>
          </w:tcPr>
          <w:p w14:paraId="4AF1E36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534.2±24.7</w:t>
            </w:r>
            <w:r>
              <w:rPr>
                <w:rFonts w:hint="eastAsia" w:asciiTheme="minorEastAsia" w:hAnsiTheme="minorEastAsia" w:eastAsiaTheme="minorEastAsia" w:cstheme="minorEastAsia"/>
                <w:color w:val="000000"/>
                <w:sz w:val="21"/>
                <w:szCs w:val="21"/>
                <w:vertAlign w:val="superscript"/>
              </w:rPr>
              <w:t>a</w:t>
            </w:r>
          </w:p>
        </w:tc>
        <w:tc>
          <w:tcPr>
            <w:tcW w:w="1169" w:type="pct"/>
            <w:tcBorders>
              <w:tl2br w:val="nil"/>
              <w:tr2bl w:val="nil"/>
            </w:tcBorders>
            <w:shd w:val="clear" w:color="auto" w:fill="auto"/>
            <w:tcMar>
              <w:left w:w="108" w:type="dxa"/>
              <w:right w:w="108" w:type="dxa"/>
            </w:tcMar>
            <w:vAlign w:val="center"/>
          </w:tcPr>
          <w:p w14:paraId="6F6EFC8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253.6±19.9</w:t>
            </w:r>
            <w:r>
              <w:rPr>
                <w:rFonts w:hint="eastAsia" w:asciiTheme="minorEastAsia" w:hAnsiTheme="minorEastAsia" w:eastAsiaTheme="minorEastAsia" w:cstheme="minorEastAsia"/>
                <w:color w:val="000000"/>
                <w:sz w:val="21"/>
                <w:szCs w:val="21"/>
                <w:vertAlign w:val="superscript"/>
              </w:rPr>
              <w:t>a</w:t>
            </w:r>
          </w:p>
        </w:tc>
        <w:tc>
          <w:tcPr>
            <w:tcW w:w="1092" w:type="pct"/>
            <w:tcBorders>
              <w:tl2br w:val="nil"/>
              <w:tr2bl w:val="nil"/>
            </w:tcBorders>
            <w:shd w:val="clear" w:color="auto" w:fill="auto"/>
            <w:tcMar>
              <w:left w:w="108" w:type="dxa"/>
              <w:right w:w="108" w:type="dxa"/>
            </w:tcMar>
            <w:vAlign w:val="center"/>
          </w:tcPr>
          <w:p w14:paraId="603E4D2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40.0～50.9</w:t>
            </w:r>
          </w:p>
        </w:tc>
      </w:tr>
    </w:tbl>
    <w:p w14:paraId="6F455465">
      <w:pPr>
        <w:keepNext w:val="0"/>
        <w:keepLines w:val="0"/>
        <w:pageBreakBefore w:val="0"/>
        <w:kinsoku/>
        <w:wordWrap/>
        <w:overflowPunct/>
        <w:topLinePunct w:val="0"/>
        <w:bidi w:val="0"/>
        <w:adjustRightInd/>
        <w:snapToGrid/>
        <w:spacing w:beforeAutospacing="0" w:afterAutospacing="0" w:line="440" w:lineRule="exact"/>
        <w:ind w:firstLine="420" w:firstLineChars="200"/>
        <w:textAlignment w:val="auto"/>
        <w:rPr>
          <w:rFonts w:hint="eastAsia" w:asciiTheme="minorEastAsia" w:hAnsi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注:字母表示不同样品间的差异性(P＜0.05)</w:t>
      </w:r>
      <w:r>
        <w:rPr>
          <w:rFonts w:hint="eastAsia" w:asciiTheme="minorEastAsia" w:hAnsiTheme="minorEastAsia" w:cstheme="minorEastAsia"/>
          <w:color w:val="000000"/>
          <w:kern w:val="0"/>
          <w:sz w:val="21"/>
          <w:szCs w:val="21"/>
          <w:lang w:val="en-US" w:eastAsia="zh-CN" w:bidi="ar"/>
        </w:rPr>
        <w:t>。</w:t>
      </w:r>
    </w:p>
    <w:p w14:paraId="6C9A83FF">
      <w:pPr>
        <w:keepNext w:val="0"/>
        <w:keepLines w:val="0"/>
        <w:pageBreakBefore w:val="0"/>
        <w:kinsoku/>
        <w:wordWrap/>
        <w:overflowPunct/>
        <w:topLinePunct w:val="0"/>
        <w:bidi w:val="0"/>
        <w:adjustRightInd/>
        <w:snapToGrid/>
        <w:spacing w:beforeAutospacing="0" w:afterAutospacing="0" w:line="440" w:lineRule="exact"/>
        <w:ind w:firstLine="480" w:firstLineChars="200"/>
        <w:textAlignment w:val="auto"/>
        <w:rPr>
          <w:rFonts w:hint="eastAsia" w:asciiTheme="minorEastAsia" w:hAnsiTheme="minorEastAsia" w:cstheme="minorEastAsia"/>
          <w:color w:val="000000"/>
          <w:kern w:val="0"/>
          <w:sz w:val="24"/>
          <w:szCs w:val="24"/>
          <w:lang w:val="en-US" w:eastAsia="zh-CN" w:bidi="ar"/>
        </w:rPr>
      </w:pPr>
    </w:p>
    <w:p w14:paraId="5BEE91CC">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2A215D91">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36D2F368">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428A4F0D">
      <w:pPr>
        <w:keepNext w:val="0"/>
        <w:keepLines w:val="0"/>
        <w:pageBreakBefore w:val="0"/>
        <w:kinsoku/>
        <w:wordWrap/>
        <w:overflowPunct/>
        <w:topLinePunct w:val="0"/>
        <w:bidi w:val="0"/>
        <w:adjustRightInd/>
        <w:snapToGrid/>
        <w:spacing w:beforeAutospacing="0" w:afterAutospacing="0"/>
        <w:ind w:firstLine="420" w:firstLineChars="200"/>
        <w:jc w:val="center"/>
        <w:textAlignment w:val="auto"/>
        <w:rPr>
          <w:rFonts w:hint="eastAsia" w:asciiTheme="minorEastAsia" w:hAnsiTheme="minorEastAsia" w:eastAsiaTheme="minorEastAsia" w:cstheme="minorEastAsia"/>
          <w:b/>
          <w:bCs/>
          <w:sz w:val="28"/>
          <w:szCs w:val="28"/>
          <w:lang w:val="en-US" w:eastAsia="zh-CN"/>
        </w:rPr>
      </w:pPr>
      <w:r>
        <w:drawing>
          <wp:anchor distT="0" distB="0" distL="114300" distR="114300" simplePos="0" relativeHeight="251664384" behindDoc="0" locked="0" layoutInCell="1" allowOverlap="1">
            <wp:simplePos x="0" y="0"/>
            <wp:positionH relativeFrom="column">
              <wp:posOffset>-190500</wp:posOffset>
            </wp:positionH>
            <wp:positionV relativeFrom="paragraph">
              <wp:posOffset>333375</wp:posOffset>
            </wp:positionV>
            <wp:extent cx="5442585" cy="2569845"/>
            <wp:effectExtent l="0" t="0" r="5715" b="1905"/>
            <wp:wrapSquare wrapText="bothSides"/>
            <wp:docPr id="14"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14:paraId="2EA6EF22">
      <w:pPr>
        <w:keepNext w:val="0"/>
        <w:keepLines w:val="0"/>
        <w:pageBreakBefore w:val="0"/>
        <w:kinsoku/>
        <w:wordWrap/>
        <w:overflowPunct/>
        <w:topLinePunct w:val="0"/>
        <w:bidi w:val="0"/>
        <w:adjustRightInd/>
        <w:snapToGrid/>
        <w:spacing w:beforeAutospacing="0" w:afterAutospacing="0"/>
        <w:ind w:firstLine="482" w:firstLineChars="200"/>
        <w:jc w:val="center"/>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图1 内蒙古马铃薯蛋白和氨基酸含量</w:t>
      </w:r>
    </w:p>
    <w:p w14:paraId="1447C2DE">
      <w:pPr>
        <w:keepNext w:val="0"/>
        <w:keepLines w:val="0"/>
        <w:pageBreakBefore w:val="0"/>
        <w:kinsoku/>
        <w:wordWrap/>
        <w:overflowPunct/>
        <w:topLinePunct w:val="0"/>
        <w:bidi w:val="0"/>
        <w:adjustRightInd/>
        <w:snapToGrid/>
        <w:spacing w:beforeAutospacing="0" w:afterAutospacing="0" w:line="440" w:lineRule="exact"/>
        <w:ind w:firstLine="480" w:firstLineChars="200"/>
        <w:textAlignment w:val="auto"/>
        <w:rPr>
          <w:rFonts w:hint="eastAsia" w:asciiTheme="minorEastAsia" w:hAnsiTheme="minorEastAsia" w:cstheme="minorEastAsia"/>
          <w:color w:val="000000"/>
          <w:kern w:val="0"/>
          <w:sz w:val="24"/>
          <w:szCs w:val="24"/>
          <w:lang w:val="en-US" w:eastAsia="zh-CN" w:bidi="ar"/>
        </w:rPr>
      </w:pPr>
    </w:p>
    <w:p w14:paraId="77BEE9B0">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图2显示乌兰察布直链淀粉较低，支链淀粉含量高于内蒙古平均水平，表现出容易熟化，能耗低，熟化后软而黏，且容易消化，但升糖指数高，不利于肥胖、糖尿病等代谢类疾病的人群食用。</w:t>
      </w:r>
    </w:p>
    <w:p w14:paraId="09595870">
      <w:pPr>
        <w:keepNext w:val="0"/>
        <w:keepLines w:val="0"/>
        <w:pageBreakBefore w:val="0"/>
        <w:kinsoku/>
        <w:wordWrap/>
        <w:overflowPunct/>
        <w:topLinePunct w:val="0"/>
        <w:bidi w:val="0"/>
        <w:adjustRightInd/>
        <w:snapToGrid/>
        <w:spacing w:beforeAutospacing="0" w:afterAutospacing="0"/>
        <w:ind w:firstLine="482" w:firstLineChars="200"/>
        <w:jc w:val="center"/>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drawing>
          <wp:anchor distT="0" distB="0" distL="114300" distR="114300" simplePos="0" relativeHeight="251659264" behindDoc="0" locked="0" layoutInCell="1" allowOverlap="1">
            <wp:simplePos x="0" y="0"/>
            <wp:positionH relativeFrom="column">
              <wp:posOffset>61595</wp:posOffset>
            </wp:positionH>
            <wp:positionV relativeFrom="paragraph">
              <wp:posOffset>8890</wp:posOffset>
            </wp:positionV>
            <wp:extent cx="5271135" cy="3136265"/>
            <wp:effectExtent l="0" t="0" r="5715" b="6985"/>
            <wp:wrapSquare wrapText="bothSides"/>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Theme="minorEastAsia" w:hAnsiTheme="minorEastAsia" w:eastAsiaTheme="minorEastAsia" w:cstheme="minorEastAsia"/>
          <w:b/>
          <w:bCs/>
          <w:sz w:val="24"/>
          <w:szCs w:val="24"/>
          <w:lang w:val="en-US" w:eastAsia="zh-CN"/>
        </w:rPr>
        <w:t>图</w:t>
      </w:r>
      <w:r>
        <w:rPr>
          <w:rFonts w:hint="eastAsia" w:asciiTheme="minorEastAsia" w:hAnsiTheme="minorEastAsia" w:cstheme="minorEastAsia"/>
          <w:b/>
          <w:bCs/>
          <w:sz w:val="24"/>
          <w:szCs w:val="24"/>
          <w:lang w:val="en-US" w:eastAsia="zh-CN"/>
        </w:rPr>
        <w:t>2</w:t>
      </w:r>
      <w:r>
        <w:rPr>
          <w:rFonts w:hint="eastAsia" w:asciiTheme="minorEastAsia" w:hAnsiTheme="minorEastAsia" w:eastAsiaTheme="minorEastAsia" w:cstheme="minorEastAsia"/>
          <w:b/>
          <w:bCs/>
          <w:sz w:val="24"/>
          <w:szCs w:val="24"/>
          <w:lang w:val="en-US" w:eastAsia="zh-CN"/>
        </w:rPr>
        <w:t xml:space="preserve"> 内蒙古马铃薯淀粉含量</w:t>
      </w:r>
    </w:p>
    <w:p w14:paraId="56F0A557">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49E0EE90">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p>
    <w:p w14:paraId="17144DBF">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表5显示VB</w:t>
      </w:r>
      <w:r>
        <w:rPr>
          <w:rFonts w:hint="eastAsia" w:ascii="仿宋" w:hAnsi="仿宋" w:eastAsia="仿宋" w:cs="Times New Roman"/>
          <w:kern w:val="0"/>
          <w:sz w:val="28"/>
          <w:szCs w:val="28"/>
          <w:vertAlign w:val="subscript"/>
          <w:lang w:val="en-US" w:eastAsia="zh-CN" w:bidi="ar-SA"/>
        </w:rPr>
        <w:t>1</w:t>
      </w:r>
      <w:r>
        <w:rPr>
          <w:rFonts w:hint="eastAsia" w:ascii="仿宋" w:hAnsi="仿宋" w:eastAsia="仿宋" w:cs="Times New Roman"/>
          <w:kern w:val="0"/>
          <w:sz w:val="28"/>
          <w:szCs w:val="28"/>
          <w:lang w:val="en-US" w:eastAsia="zh-CN" w:bidi="ar-SA"/>
        </w:rPr>
        <w:t>和VB</w:t>
      </w:r>
      <w:r>
        <w:rPr>
          <w:rFonts w:hint="eastAsia" w:ascii="仿宋" w:hAnsi="仿宋" w:eastAsia="仿宋" w:cs="Times New Roman"/>
          <w:kern w:val="0"/>
          <w:sz w:val="28"/>
          <w:szCs w:val="28"/>
          <w:vertAlign w:val="subscript"/>
          <w:lang w:val="en-US" w:eastAsia="zh-CN" w:bidi="ar-SA"/>
        </w:rPr>
        <w:t>6</w:t>
      </w:r>
      <w:r>
        <w:rPr>
          <w:rFonts w:hint="eastAsia" w:ascii="仿宋" w:hAnsi="仿宋" w:eastAsia="仿宋" w:cs="Times New Roman"/>
          <w:kern w:val="0"/>
          <w:sz w:val="28"/>
          <w:szCs w:val="28"/>
          <w:lang w:val="en-US" w:eastAsia="zh-CN" w:bidi="ar-SA"/>
        </w:rPr>
        <w:t>含量以定西含量最高，其次是乌兰察布；VB</w:t>
      </w:r>
      <w:r>
        <w:rPr>
          <w:rFonts w:hint="eastAsia" w:ascii="仿宋" w:hAnsi="仿宋" w:eastAsia="仿宋" w:cs="Times New Roman"/>
          <w:kern w:val="0"/>
          <w:sz w:val="28"/>
          <w:szCs w:val="28"/>
          <w:vertAlign w:val="subscript"/>
          <w:lang w:val="en-US" w:eastAsia="zh-CN" w:bidi="ar-SA"/>
        </w:rPr>
        <w:t>2</w:t>
      </w:r>
      <w:r>
        <w:rPr>
          <w:rFonts w:hint="eastAsia" w:ascii="仿宋" w:hAnsi="仿宋" w:eastAsia="仿宋" w:cs="Times New Roman"/>
          <w:kern w:val="0"/>
          <w:sz w:val="28"/>
          <w:szCs w:val="28"/>
          <w:lang w:val="en-US" w:eastAsia="zh-CN" w:bidi="ar-SA"/>
        </w:rPr>
        <w:t>和VB</w:t>
      </w:r>
      <w:r>
        <w:rPr>
          <w:rFonts w:hint="eastAsia" w:ascii="仿宋" w:hAnsi="仿宋" w:eastAsia="仿宋" w:cs="Times New Roman"/>
          <w:kern w:val="0"/>
          <w:sz w:val="28"/>
          <w:szCs w:val="28"/>
          <w:vertAlign w:val="subscript"/>
          <w:lang w:val="en-US" w:eastAsia="zh-CN" w:bidi="ar-SA"/>
        </w:rPr>
        <w:t>3</w:t>
      </w:r>
      <w:r>
        <w:rPr>
          <w:rFonts w:hint="eastAsia" w:ascii="仿宋" w:hAnsi="仿宋" w:eastAsia="仿宋" w:cs="Times New Roman"/>
          <w:kern w:val="0"/>
          <w:sz w:val="28"/>
          <w:szCs w:val="28"/>
          <w:lang w:val="en-US" w:eastAsia="zh-CN" w:bidi="ar-SA"/>
        </w:rPr>
        <w:t>含量以克山马铃薯含量最高，乌兰察布马铃薯B族维生素含量居中；V</w:t>
      </w:r>
      <w:r>
        <w:rPr>
          <w:rFonts w:hint="eastAsia" w:ascii="仿宋" w:hAnsi="仿宋" w:eastAsia="仿宋" w:cs="Times New Roman"/>
          <w:kern w:val="0"/>
          <w:sz w:val="28"/>
          <w:szCs w:val="28"/>
          <w:vertAlign w:val="subscript"/>
          <w:lang w:val="en-US" w:eastAsia="zh-CN" w:bidi="ar-SA"/>
        </w:rPr>
        <w:t>C</w:t>
      </w:r>
      <w:r>
        <w:rPr>
          <w:rFonts w:hint="eastAsia" w:ascii="仿宋" w:hAnsi="仿宋" w:eastAsia="仿宋" w:cs="Times New Roman"/>
          <w:kern w:val="0"/>
          <w:sz w:val="28"/>
          <w:szCs w:val="28"/>
          <w:lang w:val="en-US" w:eastAsia="zh-CN" w:bidi="ar-SA"/>
        </w:rPr>
        <w:t>含量以乌兰察布最高。</w:t>
      </w:r>
    </w:p>
    <w:p w14:paraId="49DCB5C4">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jc w:val="center"/>
        <w:textAlignment w:val="auto"/>
        <w:rPr>
          <w:rFonts w:hint="eastAsia" w:ascii="仿宋" w:hAnsi="仿宋" w:eastAsia="仿宋" w:cs="Times New Roman"/>
          <w:kern w:val="0"/>
          <w:sz w:val="28"/>
          <w:szCs w:val="28"/>
          <w:lang w:val="en-US" w:eastAsia="zh-CN" w:bidi="ar-SA"/>
        </w:rPr>
      </w:pPr>
    </w:p>
    <w:p w14:paraId="196AE417">
      <w:pPr>
        <w:keepNext w:val="0"/>
        <w:keepLines w:val="0"/>
        <w:pageBreakBefore w:val="0"/>
        <w:kinsoku/>
        <w:wordWrap/>
        <w:overflowPunct/>
        <w:topLinePunct w:val="0"/>
        <w:bidi w:val="0"/>
        <w:adjustRightInd/>
        <w:snapToGrid/>
        <w:spacing w:beforeAutospacing="0" w:afterAutospacing="0"/>
        <w:ind w:firstLine="48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cstheme="minorEastAsia"/>
          <w:b/>
          <w:bCs/>
          <w:sz w:val="24"/>
          <w:szCs w:val="24"/>
          <w:lang w:val="en-US" w:eastAsia="zh-CN"/>
        </w:rPr>
        <w:t>表5内蒙古马铃薯维生素含量</w:t>
      </w:r>
    </w:p>
    <w:p w14:paraId="58FE9AE7">
      <w:pPr>
        <w:keepNext w:val="0"/>
        <w:keepLines w:val="0"/>
        <w:pageBreakBefore w:val="0"/>
        <w:kinsoku/>
        <w:wordWrap/>
        <w:overflowPunct/>
        <w:topLinePunct w:val="0"/>
        <w:bidi w:val="0"/>
        <w:adjustRightInd/>
        <w:snapToGrid/>
        <w:spacing w:beforeAutospacing="0" w:afterAutospacing="0"/>
        <w:ind w:firstLine="420" w:firstLineChars="200"/>
        <w:jc w:val="both"/>
        <w:textAlignment w:val="auto"/>
        <w:rPr>
          <w:rFonts w:hint="eastAsia" w:ascii="仿宋" w:hAnsi="仿宋" w:eastAsia="仿宋" w:cs="Times New Roman"/>
          <w:kern w:val="0"/>
          <w:sz w:val="28"/>
          <w:szCs w:val="28"/>
          <w:lang w:val="en-US" w:eastAsia="zh-CN" w:bidi="ar-SA"/>
        </w:rPr>
      </w:pPr>
      <w:r>
        <w:drawing>
          <wp:anchor distT="0" distB="0" distL="114300" distR="114300" simplePos="0" relativeHeight="251660288" behindDoc="0" locked="0" layoutInCell="1" allowOverlap="1">
            <wp:simplePos x="0" y="0"/>
            <wp:positionH relativeFrom="column">
              <wp:posOffset>-304165</wp:posOffset>
            </wp:positionH>
            <wp:positionV relativeFrom="paragraph">
              <wp:posOffset>120650</wp:posOffset>
            </wp:positionV>
            <wp:extent cx="6254750" cy="2602230"/>
            <wp:effectExtent l="0" t="0" r="0" b="0"/>
            <wp:wrapSquare wrapText="bothSides"/>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6518" b="6476"/>
                    <a:stretch>
                      <a:fillRect/>
                    </a:stretch>
                  </pic:blipFill>
                  <pic:spPr>
                    <a:xfrm>
                      <a:off x="0" y="0"/>
                      <a:ext cx="6254750" cy="2602230"/>
                    </a:xfrm>
                    <a:prstGeom prst="rect">
                      <a:avLst/>
                    </a:prstGeom>
                    <a:noFill/>
                    <a:ln>
                      <a:noFill/>
                    </a:ln>
                    <a:effectLst/>
                  </pic:spPr>
                </pic:pic>
              </a:graphicData>
            </a:graphic>
          </wp:anchor>
        </w:drawing>
      </w:r>
      <w:r>
        <w:rPr>
          <w:rFonts w:hint="eastAsia" w:ascii="仿宋" w:hAnsi="仿宋" w:eastAsia="仿宋" w:cs="Times New Roman"/>
          <w:kern w:val="0"/>
          <w:sz w:val="28"/>
          <w:szCs w:val="28"/>
          <w:lang w:val="en-US" w:eastAsia="zh-CN" w:bidi="ar-SA"/>
        </w:rPr>
        <w:t>表6显示内蒙古马铃薯钾元素含量最高，显著高于河北省和甘肃省（p&lt;0.05）；其次是镁＞ 钙＞钠。</w:t>
      </w:r>
    </w:p>
    <w:p w14:paraId="6F3E7E01">
      <w:pPr>
        <w:keepNext w:val="0"/>
        <w:keepLines w:val="0"/>
        <w:pageBreakBefore w:val="0"/>
        <w:kinsoku/>
        <w:wordWrap/>
        <w:overflowPunct/>
        <w:topLinePunct w:val="0"/>
        <w:bidi w:val="0"/>
        <w:adjustRightInd/>
        <w:snapToGrid/>
        <w:spacing w:beforeAutospacing="0" w:afterAutospacing="0"/>
        <w:ind w:firstLine="482" w:firstLineChars="200"/>
        <w:jc w:val="center"/>
        <w:textAlignment w:val="auto"/>
        <w:rPr>
          <w:rFonts w:hint="default"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4"/>
          <w:szCs w:val="24"/>
          <w:lang w:val="en-US" w:eastAsia="zh-CN"/>
        </w:rPr>
        <w:t>表6 内蒙古马铃薯矿质元素含量</w:t>
      </w:r>
    </w:p>
    <w:p w14:paraId="1DCED616">
      <w:pPr>
        <w:keepNext w:val="0"/>
        <w:keepLines w:val="0"/>
        <w:pageBreakBefore w:val="0"/>
        <w:kinsoku/>
        <w:wordWrap/>
        <w:overflowPunct/>
        <w:topLinePunct w:val="0"/>
        <w:bidi w:val="0"/>
        <w:adjustRightInd/>
        <w:snapToGrid/>
        <w:spacing w:beforeAutospacing="0" w:afterAutospacing="0" w:line="440" w:lineRule="exact"/>
        <w:ind w:firstLine="420" w:firstLineChars="200"/>
        <w:textAlignment w:val="auto"/>
        <w:rPr>
          <w:rFonts w:hint="eastAsia" w:ascii="仿宋" w:hAnsi="仿宋" w:eastAsia="仿宋" w:cs="Times New Roman"/>
          <w:kern w:val="0"/>
          <w:sz w:val="28"/>
          <w:szCs w:val="28"/>
          <w:lang w:val="en-US" w:eastAsia="zh-CN" w:bidi="ar-SA"/>
        </w:rPr>
      </w:pPr>
      <w:r>
        <w:drawing>
          <wp:anchor distT="0" distB="0" distL="114300" distR="114300" simplePos="0" relativeHeight="251661312" behindDoc="0" locked="0" layoutInCell="1" allowOverlap="1">
            <wp:simplePos x="0" y="0"/>
            <wp:positionH relativeFrom="column">
              <wp:posOffset>-672465</wp:posOffset>
            </wp:positionH>
            <wp:positionV relativeFrom="paragraph">
              <wp:posOffset>33020</wp:posOffset>
            </wp:positionV>
            <wp:extent cx="6765925" cy="2893060"/>
            <wp:effectExtent l="0" t="0" r="0" b="0"/>
            <wp:wrapSquare wrapText="bothSides"/>
            <wp:docPr id="71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4"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t="6830"/>
                    <a:stretch>
                      <a:fillRect/>
                    </a:stretch>
                  </pic:blipFill>
                  <pic:spPr>
                    <a:xfrm>
                      <a:off x="0" y="0"/>
                      <a:ext cx="6765925" cy="2893060"/>
                    </a:xfrm>
                    <a:prstGeom prst="rect">
                      <a:avLst/>
                    </a:prstGeom>
                    <a:noFill/>
                    <a:ln>
                      <a:noFill/>
                    </a:ln>
                    <a:effectLst/>
                  </pic:spPr>
                </pic:pic>
              </a:graphicData>
            </a:graphic>
          </wp:anchor>
        </w:drawing>
      </w:r>
    </w:p>
    <w:p w14:paraId="66C181EC">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表7和图3显示乌兰察布马铃薯挥发性物质含量高且种类多，种类数量占总62种鉴定物质的54.8%。PLS-DA 和VIP值分析，VIP值大于1的有17种，即这17种化合物是区别于其他地区的乌兰察布马铃薯特有的挥发性物质，其中E-2-辛烯醛、2-戊基呋喃、(E)-2-庚烯醛、2-已烯醛、3-辛烯-2-酮、反式-2-戊烯醛6种在乌兰察布中含量较高，是乌兰察布马铃薯样品特征挥发性物质，熟化后呈现出油脂香、豆香、水果香、清香等多种香味混合的浓郁香气。</w:t>
      </w:r>
    </w:p>
    <w:p w14:paraId="0649F873">
      <w:pPr>
        <w:keepNext w:val="0"/>
        <w:keepLines w:val="0"/>
        <w:pageBreakBefore w:val="0"/>
        <w:kinsoku/>
        <w:wordWrap/>
        <w:overflowPunct/>
        <w:topLinePunct w:val="0"/>
        <w:bidi w:val="0"/>
        <w:adjustRightInd/>
        <w:snapToGrid/>
        <w:spacing w:beforeAutospacing="0" w:afterAutospacing="0"/>
        <w:ind w:firstLine="48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cstheme="minorEastAsia"/>
          <w:b/>
          <w:bCs/>
          <w:sz w:val="24"/>
          <w:szCs w:val="24"/>
          <w:lang w:val="en-US" w:eastAsia="zh-CN"/>
        </w:rPr>
        <w:t>表7 内蒙古马铃薯熟化后挥发性风味物质含量</w:t>
      </w:r>
    </w:p>
    <w:p w14:paraId="5E61B4A1">
      <w:pPr>
        <w:keepNext w:val="0"/>
        <w:keepLines w:val="0"/>
        <w:pageBreakBefore w:val="0"/>
        <w:kinsoku/>
        <w:wordWrap/>
        <w:overflowPunct/>
        <w:topLinePunct w:val="0"/>
        <w:bidi w:val="0"/>
        <w:adjustRightInd/>
        <w:snapToGrid/>
        <w:spacing w:beforeAutospacing="0" w:afterAutospacing="0" w:line="440" w:lineRule="exact"/>
        <w:ind w:firstLine="420" w:firstLineChars="200"/>
        <w:textAlignment w:val="auto"/>
        <w:rPr>
          <w:rFonts w:hint="eastAsia" w:ascii="仿宋" w:hAnsi="仿宋" w:eastAsia="仿宋" w:cs="Times New Roman"/>
          <w:kern w:val="0"/>
          <w:sz w:val="28"/>
          <w:szCs w:val="28"/>
          <w:lang w:val="en-US" w:eastAsia="zh-CN" w:bidi="ar-SA"/>
        </w:rPr>
      </w:pPr>
      <w:r>
        <w:drawing>
          <wp:anchor distT="0" distB="0" distL="114300" distR="114300" simplePos="0" relativeHeight="251662336" behindDoc="0" locked="0" layoutInCell="1" allowOverlap="1">
            <wp:simplePos x="0" y="0"/>
            <wp:positionH relativeFrom="column">
              <wp:posOffset>-95250</wp:posOffset>
            </wp:positionH>
            <wp:positionV relativeFrom="paragraph">
              <wp:posOffset>60325</wp:posOffset>
            </wp:positionV>
            <wp:extent cx="5805805" cy="5020945"/>
            <wp:effectExtent l="0" t="0" r="0" b="0"/>
            <wp:wrapSquare wrapText="bothSides"/>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b="4639"/>
                    <a:stretch>
                      <a:fillRect/>
                    </a:stretch>
                  </pic:blipFill>
                  <pic:spPr>
                    <a:xfrm>
                      <a:off x="0" y="0"/>
                      <a:ext cx="5805805" cy="5020945"/>
                    </a:xfrm>
                    <a:prstGeom prst="rect">
                      <a:avLst/>
                    </a:prstGeom>
                    <a:noFill/>
                    <a:ln>
                      <a:noFill/>
                    </a:ln>
                    <a:effectLst/>
                  </pic:spPr>
                </pic:pic>
              </a:graphicData>
            </a:graphic>
          </wp:anchor>
        </w:drawing>
      </w:r>
    </w:p>
    <w:p w14:paraId="3B7BDC0C">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31FBD023">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7061A0AE">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42A1D1E0">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08A3D1EF">
      <w:pPr>
        <w:keepNext w:val="0"/>
        <w:keepLines w:val="0"/>
        <w:pageBreakBefore w:val="0"/>
        <w:kinsoku/>
        <w:wordWrap/>
        <w:overflowPunct/>
        <w:topLinePunct w:val="0"/>
        <w:bidi w:val="0"/>
        <w:adjustRightInd/>
        <w:snapToGrid/>
        <w:spacing w:beforeAutospacing="0" w:afterAutospacing="0" w:line="440" w:lineRule="exact"/>
        <w:ind w:firstLine="420" w:firstLineChars="200"/>
        <w:textAlignment w:val="auto"/>
        <w:rPr>
          <w:rFonts w:hint="eastAsia" w:ascii="仿宋" w:hAnsi="仿宋" w:eastAsia="仿宋" w:cs="Times New Roman"/>
          <w:kern w:val="0"/>
          <w:sz w:val="28"/>
          <w:szCs w:val="28"/>
          <w:lang w:val="en-US" w:eastAsia="zh-CN" w:bidi="ar-SA"/>
        </w:rPr>
      </w:pPr>
      <w:r>
        <w:drawing>
          <wp:anchor distT="0" distB="0" distL="114300" distR="114300" simplePos="0" relativeHeight="251663360" behindDoc="0" locked="0" layoutInCell="1" allowOverlap="1">
            <wp:simplePos x="0" y="0"/>
            <wp:positionH relativeFrom="column">
              <wp:posOffset>361950</wp:posOffset>
            </wp:positionH>
            <wp:positionV relativeFrom="paragraph">
              <wp:posOffset>90805</wp:posOffset>
            </wp:positionV>
            <wp:extent cx="4469130" cy="2523490"/>
            <wp:effectExtent l="0" t="0" r="0" b="0"/>
            <wp:wrapSquare wrapText="bothSides"/>
            <wp:docPr id="10" name="图片 9"/>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10">
                      <a:extLst>
                        <a:ext uri="{28A0092B-C50C-407E-A947-70E740481C1C}">
                          <a14:useLocalDpi xmlns:a14="http://schemas.microsoft.com/office/drawing/2010/main" val="0"/>
                        </a:ext>
                      </a:extLst>
                    </a:blip>
                    <a:srcRect t="7956"/>
                    <a:stretch>
                      <a:fillRect/>
                    </a:stretch>
                  </pic:blipFill>
                  <pic:spPr>
                    <a:xfrm>
                      <a:off x="0" y="0"/>
                      <a:ext cx="4469130" cy="2523490"/>
                    </a:xfrm>
                    <a:prstGeom prst="rect">
                      <a:avLst/>
                    </a:prstGeom>
                    <a:noFill/>
                    <a:ln>
                      <a:noFill/>
                    </a:ln>
                  </pic:spPr>
                </pic:pic>
              </a:graphicData>
            </a:graphic>
          </wp:anchor>
        </w:drawing>
      </w:r>
    </w:p>
    <w:p w14:paraId="18C39F9A">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727507C4">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06F36CEB">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75679B20">
      <w:pPr>
        <w:keepNext w:val="0"/>
        <w:keepLines w:val="0"/>
        <w:pageBreakBefore w:val="0"/>
        <w:kinsoku/>
        <w:wordWrap/>
        <w:overflowPunct/>
        <w:topLinePunct w:val="0"/>
        <w:bidi w:val="0"/>
        <w:adjustRightInd/>
        <w:snapToGrid/>
        <w:spacing w:beforeAutospacing="0" w:afterAutospacing="0"/>
        <w:ind w:firstLine="48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cstheme="minorEastAsia"/>
          <w:b/>
          <w:bCs/>
          <w:sz w:val="24"/>
          <w:szCs w:val="24"/>
          <w:lang w:val="en-US" w:eastAsia="zh-CN"/>
        </w:rPr>
        <w:t>图3  内蒙古马铃薯熟化后挥发性风味物质含量</w:t>
      </w:r>
    </w:p>
    <w:p w14:paraId="0CC2D02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因此，基于文献调研、品质评价成果总结和采样验证，最终确定鲜食马铃薯评价指标包括但不限于干物质、淀粉、蛋白质、还原糖、维生素C、膳食纤维、矿质元素等。熟化马铃薯评价指标包括但不限于呈味氨基酸总量、挥发性风味物质等。</w:t>
      </w:r>
    </w:p>
    <w:p w14:paraId="48289654">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b/>
          <w:bCs/>
          <w:kern w:val="0"/>
          <w:sz w:val="28"/>
          <w:szCs w:val="28"/>
          <w:lang w:val="en-US" w:eastAsia="zh-CN" w:bidi="ar-SA"/>
        </w:rPr>
        <w:t>2.5评价指标检测标准的确定</w:t>
      </w:r>
    </w:p>
    <w:p w14:paraId="11C697B0">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评价指标检测标准的确定以国家标准、行业标准优先为原则，对于没有现行检测标准的挥发性风味物质的检测，以附录形式确定。指标检测标准如下：</w:t>
      </w:r>
    </w:p>
    <w:p w14:paraId="2DA17D84">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 xml:space="preserve">干物质，按GB 5009.3规定的方法执行。 </w:t>
      </w:r>
    </w:p>
    <w:p w14:paraId="19BFA0EA">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淀粉，按GB/T 5009.9规定的方法执行。</w:t>
      </w:r>
    </w:p>
    <w:p w14:paraId="4FA0152D">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蛋白质，按GB 5009.5规定的方法执行。</w:t>
      </w:r>
    </w:p>
    <w:p w14:paraId="134BC750">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还原糖，按GB 5009.7 规定的方法执行。</w:t>
      </w:r>
    </w:p>
    <w:p w14:paraId="73735B6B">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维生素C，按GB 5009.86规定的方法执行。</w:t>
      </w:r>
    </w:p>
    <w:p w14:paraId="15C70914">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膳食纤维，按GB 5009.88规定的方法执行。</w:t>
      </w:r>
    </w:p>
    <w:p w14:paraId="39F98679">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矿质元素，至少检测钙、钠、锌、镁、铁、钾、硒，按GB 5009.268 规定的方法执行。</w:t>
      </w:r>
    </w:p>
    <w:p w14:paraId="6733D123">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 xml:space="preserve">呈味氨基酸总量，检测甜味氨基酸（甘氨酸、丙氨酸、丝氨酸、苏氨酸、脯氨酸、组氨酸之和）、鲜味氨基酸（赖氨酸、谷氨酸、天冬氨酸之和），按GB 5009.124 规定的方法执行。  </w:t>
      </w:r>
    </w:p>
    <w:p w14:paraId="65A303DE">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挥发性风味物质，参照本文件附录制备熟化马铃薯样品、并检测，结果以挥发物质总量表示。</w:t>
      </w:r>
    </w:p>
    <w:p w14:paraId="6E1CD374">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b/>
          <w:bCs/>
          <w:kern w:val="0"/>
          <w:sz w:val="28"/>
          <w:szCs w:val="28"/>
          <w:lang w:val="en-US" w:eastAsia="zh-CN" w:bidi="ar-SA"/>
        </w:rPr>
        <w:t>2.6评价方法的确定</w:t>
      </w:r>
    </w:p>
    <w:p w14:paraId="52A82FD4">
      <w:pPr>
        <w:pStyle w:val="11"/>
        <w:keepNext w:val="0"/>
        <w:keepLines w:val="0"/>
        <w:pageBreakBefore w:val="0"/>
        <w:widowControl/>
        <w:kinsoku/>
        <w:wordWrap/>
        <w:overflowPunct/>
        <w:topLinePunct w:val="0"/>
        <w:autoSpaceDE w:val="0"/>
        <w:autoSpaceDN w:val="0"/>
        <w:bidi w:val="0"/>
        <w:adjustRightInd/>
        <w:snapToGrid w:val="0"/>
        <w:spacing w:line="560" w:lineRule="exact"/>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为了保证评价结果的关联性、类比性和持续性。依据</w:t>
      </w:r>
      <w:r>
        <w:rPr>
          <w:rFonts w:hint="eastAsia" w:ascii="仿宋" w:hAnsi="仿宋" w:eastAsia="仿宋"/>
          <w:sz w:val="28"/>
          <w:szCs w:val="28"/>
          <w:lang w:val="en-US" w:eastAsia="zh-CN"/>
        </w:rPr>
        <w:t>《内蒙古马铃薯品质评鉴总结报告》（2020年至2023年），总结了主要评价方法，对于单项指标，采用《中国食物成分表》（标准版第6版）、《中国食物营养成分表》（2019版）或同类产品标准的参考值进行比较，单项指标结论可参考采用大于、小于、低于、优于或者进行功能性描述。根据单项指标结论，提出优于同类产品的特征指标。对于综合指标，</w:t>
      </w:r>
      <w:r>
        <w:rPr>
          <w:rFonts w:hint="eastAsia" w:ascii="仿宋" w:hAnsi="仿宋" w:eastAsia="仿宋" w:cs="Times New Roman"/>
          <w:kern w:val="0"/>
          <w:sz w:val="28"/>
          <w:szCs w:val="28"/>
          <w:lang w:val="en-US" w:eastAsia="zh-CN" w:bidi="ar-SA"/>
        </w:rPr>
        <w:t>有产品分级标准的指标：应根据DB15/T 1719分级标准，综合评价产品等级，评价结论以等级表示。具体指标值如表7所述，评价结论以等级表示。无产品分级标准的指标：利用合理的统计分析方法，对各指标结果进行综合分析，提出明确评价意见，获得综合评价结论。</w:t>
      </w:r>
    </w:p>
    <w:p w14:paraId="0AB3753F">
      <w:pPr>
        <w:spacing w:before="156" w:beforeLines="50" w:after="156" w:afterLines="50"/>
        <w:jc w:val="center"/>
        <w:rPr>
          <w:rFonts w:hint="default" w:asciiTheme="minorEastAsia" w:hAnsiTheme="minorEastAsia" w:cstheme="minorEastAsia"/>
          <w:b/>
          <w:bCs/>
          <w:sz w:val="28"/>
          <w:szCs w:val="28"/>
          <w:lang w:val="en-US" w:eastAsia="zh-CN"/>
        </w:rPr>
      </w:pPr>
      <w:r>
        <w:rPr>
          <w:rFonts w:hint="eastAsia" w:asciiTheme="minorEastAsia" w:hAnsiTheme="minorEastAsia" w:cstheme="minorEastAsia"/>
          <w:b/>
          <w:bCs/>
          <w:sz w:val="24"/>
          <w:szCs w:val="24"/>
          <w:lang w:val="en-US" w:eastAsia="zh-CN"/>
        </w:rPr>
        <w:t>表8  马铃薯现有分级标准的参考值要求</w:t>
      </w:r>
    </w:p>
    <w:tbl>
      <w:tblPr>
        <w:tblStyle w:val="6"/>
        <w:tblW w:w="547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140"/>
        <w:gridCol w:w="4075"/>
        <w:gridCol w:w="3122"/>
      </w:tblGrid>
      <w:tr w14:paraId="73AF5F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jc w:val="center"/>
        </w:trPr>
        <w:tc>
          <w:tcPr>
            <w:tcW w:w="1146" w:type="pct"/>
            <w:shd w:val="clear" w:color="auto" w:fill="auto"/>
            <w:vAlign w:val="center"/>
          </w:tcPr>
          <w:p w14:paraId="7425E5CD">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项目（单位）</w:t>
            </w:r>
          </w:p>
        </w:tc>
        <w:tc>
          <w:tcPr>
            <w:tcW w:w="2181" w:type="pct"/>
            <w:shd w:val="clear" w:color="auto" w:fill="auto"/>
            <w:vAlign w:val="center"/>
          </w:tcPr>
          <w:p w14:paraId="7E3187BF">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指标值要求</w:t>
            </w:r>
          </w:p>
        </w:tc>
        <w:tc>
          <w:tcPr>
            <w:tcW w:w="1671" w:type="pct"/>
            <w:shd w:val="clear" w:color="auto" w:fill="auto"/>
            <w:vAlign w:val="center"/>
          </w:tcPr>
          <w:p w14:paraId="3335BEEC">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来源</w:t>
            </w:r>
          </w:p>
        </w:tc>
      </w:tr>
      <w:tr w14:paraId="6B11A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1146" w:type="pct"/>
            <w:shd w:val="clear" w:color="auto" w:fill="auto"/>
            <w:vAlign w:val="center"/>
          </w:tcPr>
          <w:p w14:paraId="554346F1">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干物质（%）</w:t>
            </w:r>
          </w:p>
        </w:tc>
        <w:tc>
          <w:tcPr>
            <w:tcW w:w="2181" w:type="pct"/>
            <w:shd w:val="clear" w:color="auto" w:fill="auto"/>
            <w:vAlign w:val="center"/>
          </w:tcPr>
          <w:p w14:paraId="7011B439">
            <w:pPr>
              <w:pStyle w:val="11"/>
              <w:keepNext w:val="0"/>
              <w:keepLines w:val="0"/>
              <w:pageBreakBefore w:val="0"/>
              <w:widowControl/>
              <w:kinsoku/>
              <w:wordWrap/>
              <w:overflowPunct/>
              <w:topLinePunct w:val="0"/>
              <w:autoSpaceDE w:val="0"/>
              <w:autoSpaceDN w:val="0"/>
              <w:bidi w:val="0"/>
              <w:adjustRightInd/>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18</w:t>
            </w:r>
          </w:p>
        </w:tc>
        <w:tc>
          <w:tcPr>
            <w:tcW w:w="1671" w:type="pct"/>
            <w:shd w:val="clear" w:color="auto" w:fill="auto"/>
            <w:vAlign w:val="center"/>
          </w:tcPr>
          <w:p w14:paraId="5E7BD993">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DB15/T 1719—2019</w:t>
            </w:r>
          </w:p>
          <w:p w14:paraId="179B832D">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《表3 “乌兰察布马铃薯”鲜食薯营养指标要求》</w:t>
            </w:r>
          </w:p>
        </w:tc>
      </w:tr>
      <w:tr w14:paraId="39888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1146" w:type="pct"/>
            <w:shd w:val="clear" w:color="auto" w:fill="auto"/>
            <w:vAlign w:val="center"/>
          </w:tcPr>
          <w:p w14:paraId="196BACB2">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蛋白质（%）</w:t>
            </w:r>
          </w:p>
        </w:tc>
        <w:tc>
          <w:tcPr>
            <w:tcW w:w="2181" w:type="pct"/>
            <w:shd w:val="clear" w:color="auto" w:fill="auto"/>
            <w:vAlign w:val="center"/>
          </w:tcPr>
          <w:p w14:paraId="793E5104">
            <w:pPr>
              <w:pStyle w:val="11"/>
              <w:keepNext w:val="0"/>
              <w:keepLines w:val="0"/>
              <w:pageBreakBefore w:val="0"/>
              <w:widowControl/>
              <w:kinsoku/>
              <w:wordWrap/>
              <w:overflowPunct/>
              <w:topLinePunct w:val="0"/>
              <w:autoSpaceDE w:val="0"/>
              <w:autoSpaceDN w:val="0"/>
              <w:bidi w:val="0"/>
              <w:adjustRightInd/>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1.7</w:t>
            </w:r>
          </w:p>
        </w:tc>
        <w:tc>
          <w:tcPr>
            <w:tcW w:w="1671" w:type="pct"/>
            <w:shd w:val="clear" w:color="auto" w:fill="auto"/>
            <w:vAlign w:val="center"/>
          </w:tcPr>
          <w:p w14:paraId="4DE12315">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DB15/T 1719—2019</w:t>
            </w:r>
          </w:p>
          <w:p w14:paraId="4A740FF5">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《表3 “乌兰察布马铃薯”鲜食薯营养指标要求》</w:t>
            </w:r>
          </w:p>
        </w:tc>
      </w:tr>
      <w:tr w14:paraId="7FEF05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1146" w:type="pct"/>
            <w:shd w:val="clear" w:color="auto" w:fill="auto"/>
            <w:vAlign w:val="center"/>
          </w:tcPr>
          <w:p w14:paraId="1BFAC227">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维生素C（mg/100g）</w:t>
            </w:r>
          </w:p>
        </w:tc>
        <w:tc>
          <w:tcPr>
            <w:tcW w:w="2181" w:type="pct"/>
            <w:shd w:val="clear" w:color="auto" w:fill="auto"/>
            <w:vAlign w:val="center"/>
          </w:tcPr>
          <w:p w14:paraId="40F9A678">
            <w:pPr>
              <w:pStyle w:val="11"/>
              <w:keepNext w:val="0"/>
              <w:keepLines w:val="0"/>
              <w:pageBreakBefore w:val="0"/>
              <w:widowControl/>
              <w:kinsoku/>
              <w:wordWrap/>
              <w:overflowPunct/>
              <w:topLinePunct w:val="0"/>
              <w:autoSpaceDE w:val="0"/>
              <w:autoSpaceDN w:val="0"/>
              <w:bidi w:val="0"/>
              <w:adjustRightInd/>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20</w:t>
            </w:r>
          </w:p>
        </w:tc>
        <w:tc>
          <w:tcPr>
            <w:tcW w:w="1671" w:type="pct"/>
            <w:shd w:val="clear" w:color="auto" w:fill="auto"/>
            <w:vAlign w:val="center"/>
          </w:tcPr>
          <w:p w14:paraId="1123E850">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DB15/T 1719—2019</w:t>
            </w:r>
          </w:p>
          <w:p w14:paraId="54850713">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《表3 “乌兰察布马铃薯”鲜食薯营养指标要求》</w:t>
            </w:r>
          </w:p>
        </w:tc>
      </w:tr>
      <w:tr w14:paraId="0AF83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1146" w:type="pct"/>
            <w:shd w:val="clear" w:color="auto" w:fill="auto"/>
            <w:vAlign w:val="center"/>
          </w:tcPr>
          <w:p w14:paraId="31A480C5">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膳食纤维（g/100g）</w:t>
            </w:r>
          </w:p>
        </w:tc>
        <w:tc>
          <w:tcPr>
            <w:tcW w:w="2181" w:type="pct"/>
            <w:shd w:val="clear" w:color="auto" w:fill="auto"/>
            <w:vAlign w:val="center"/>
          </w:tcPr>
          <w:p w14:paraId="069FCC3B">
            <w:pPr>
              <w:pStyle w:val="11"/>
              <w:keepNext w:val="0"/>
              <w:keepLines w:val="0"/>
              <w:pageBreakBefore w:val="0"/>
              <w:widowControl/>
              <w:kinsoku/>
              <w:wordWrap/>
              <w:overflowPunct/>
              <w:topLinePunct w:val="0"/>
              <w:autoSpaceDE w:val="0"/>
              <w:autoSpaceDN w:val="0"/>
              <w:bidi w:val="0"/>
              <w:adjustRightInd/>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2.1</w:t>
            </w:r>
          </w:p>
        </w:tc>
        <w:tc>
          <w:tcPr>
            <w:tcW w:w="1671" w:type="pct"/>
            <w:shd w:val="clear" w:color="auto" w:fill="auto"/>
            <w:vAlign w:val="center"/>
          </w:tcPr>
          <w:p w14:paraId="0E7013FE">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DB15/T 1719—2019</w:t>
            </w:r>
          </w:p>
          <w:p w14:paraId="3A472B83">
            <w:pPr>
              <w:pStyle w:val="11"/>
              <w:keepNext w:val="0"/>
              <w:keepLines w:val="0"/>
              <w:pageBreakBefore w:val="0"/>
              <w:widowControl/>
              <w:kinsoku/>
              <w:wordWrap/>
              <w:overflowPunct/>
              <w:topLinePunct w:val="0"/>
              <w:autoSpaceDE w:val="0"/>
              <w:autoSpaceDN w:val="0"/>
              <w:bidi w:val="0"/>
              <w:adjustRightInd/>
              <w:snapToGrid/>
              <w:spacing w:beforeAutospacing="0" w:afterAutospacing="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《表3 “乌兰察布马铃薯”鲜食薯营养指标要求》</w:t>
            </w:r>
          </w:p>
        </w:tc>
      </w:tr>
    </w:tbl>
    <w:p w14:paraId="56677160">
      <w:pPr>
        <w:pStyle w:val="11"/>
        <w:rPr>
          <w:rFonts w:hint="default" w:ascii="仿宋" w:hAnsi="仿宋" w:eastAsia="仿宋" w:cs="Times New Roman"/>
          <w:kern w:val="0"/>
          <w:sz w:val="28"/>
          <w:szCs w:val="28"/>
          <w:lang w:val="en-US" w:eastAsia="zh-CN" w:bidi="ar-SA"/>
        </w:rPr>
      </w:pPr>
    </w:p>
    <w:p w14:paraId="2F30C403">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sz w:val="28"/>
          <w:szCs w:val="28"/>
          <w:lang w:val="en-US" w:eastAsia="zh-CN"/>
        </w:rPr>
      </w:pPr>
      <w:r>
        <w:rPr>
          <w:rFonts w:hint="eastAsia" w:ascii="仿宋" w:hAnsi="仿宋" w:eastAsia="仿宋" w:cs="Times New Roman"/>
          <w:b/>
          <w:bCs/>
          <w:kern w:val="0"/>
          <w:sz w:val="28"/>
          <w:szCs w:val="28"/>
          <w:lang w:val="en-US" w:eastAsia="zh-CN" w:bidi="ar-SA"/>
        </w:rPr>
        <w:t>2.7质量控制的要求</w:t>
      </w:r>
    </w:p>
    <w:p w14:paraId="3B130A0A">
      <w:pPr>
        <w:pStyle w:val="15"/>
        <w:keepNext w:val="0"/>
        <w:keepLines w:val="0"/>
        <w:pageBreakBefore w:val="0"/>
        <w:widowControl/>
        <w:numPr>
          <w:ilvl w:val="1"/>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sz w:val="28"/>
          <w:szCs w:val="28"/>
          <w:lang w:val="en-US" w:eastAsia="zh-CN"/>
        </w:rPr>
        <w:t>为了保证马铃薯品质评价结果的有效性，本标准从</w:t>
      </w:r>
      <w:r>
        <w:rPr>
          <w:rFonts w:hint="eastAsia" w:ascii="仿宋" w:hAnsi="仿宋" w:eastAsia="仿宋" w:cs="Times New Roman"/>
          <w:kern w:val="0"/>
          <w:sz w:val="28"/>
          <w:szCs w:val="28"/>
          <w:lang w:val="en-US" w:eastAsia="zh-CN" w:bidi="ar-SA"/>
        </w:rPr>
        <w:t>样品管理、检测过程、数据结果统计分析等方面提出了质量控制要求。在样品管理上规定了样品接收、制备、保存、流转、复检和处置要有专人管理、都要有相应记录。在检测过程上要求一是检测过程应纳入实验室管理体系运行中，二是检测结果应符合相应检测方法中检出限/定量限、正确度和精密度要求，三是应通过标准物质/标准样品、质控样品、加标回收、人员比对等内部质量控制方式保证结果有效性，四是分析质量控制的结果数据，若发现数据分析结果超出预定的准则时，应启动预防纠正措施，实施改进。在数据结果统计分析上一是应根据实际情况或以往经验，按照GB/T 4883的规定，选定适宜的离群值检验规则，合理剔除离群值。二是单项指标评价的差异性分析采用方差分析、t检验、卡方检验等方法，具体按照GB/T 4889的规定进行。三是综合指标评价的多元性分析采用主成分分析、聚类分析</w:t>
      </w:r>
      <w:r>
        <w:rPr>
          <w:rFonts w:hint="default" w:ascii="仿宋" w:hAnsi="仿宋" w:eastAsia="仿宋" w:cs="Times New Roman"/>
          <w:kern w:val="0"/>
          <w:sz w:val="28"/>
          <w:szCs w:val="28"/>
          <w:lang w:val="en-US" w:eastAsia="zh-CN" w:bidi="ar-SA"/>
        </w:rPr>
        <w:t>、相关分析</w:t>
      </w:r>
      <w:r>
        <w:rPr>
          <w:rFonts w:hint="eastAsia" w:ascii="仿宋" w:hAnsi="仿宋" w:eastAsia="仿宋" w:cs="Times New Roman"/>
          <w:kern w:val="0"/>
          <w:sz w:val="28"/>
          <w:szCs w:val="28"/>
          <w:lang w:val="en-US" w:eastAsia="zh-CN" w:bidi="ar-SA"/>
        </w:rPr>
        <w:t>、灰色关联度等方法进行。</w:t>
      </w:r>
    </w:p>
    <w:p w14:paraId="655E2ADB">
      <w:pPr>
        <w:pStyle w:val="1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562" w:firstLineChars="200"/>
        <w:textAlignment w:val="auto"/>
        <w:rPr>
          <w:rFonts w:hint="default"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2.8评价报告要求</w:t>
      </w:r>
    </w:p>
    <w:p w14:paraId="644D28B1">
      <w:pPr>
        <w:pStyle w:val="14"/>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560" w:lineRule="exact"/>
        <w:ind w:leftChars="0" w:firstLine="560" w:firstLineChars="200"/>
        <w:textAlignment w:val="auto"/>
        <w:rPr>
          <w:rFonts w:hint="eastAsia" w:ascii="仿宋" w:hAnsi="仿宋" w:eastAsia="仿宋" w:cstheme="minorBidi"/>
          <w:kern w:val="2"/>
          <w:sz w:val="28"/>
          <w:szCs w:val="28"/>
          <w:lang w:val="en-US" w:eastAsia="zh-CN" w:bidi="ar-SA"/>
        </w:rPr>
      </w:pPr>
      <w:r>
        <w:rPr>
          <w:rFonts w:hint="eastAsia" w:ascii="仿宋" w:hAnsi="仿宋" w:eastAsia="仿宋"/>
          <w:sz w:val="28"/>
          <w:szCs w:val="28"/>
          <w:lang w:val="en-US" w:eastAsia="zh-CN"/>
        </w:rPr>
        <w:t>为了保证马铃薯品质评价的报告的规范性，对结果报告也提出内容和结论的要求。内容上包括</w:t>
      </w:r>
      <w:r>
        <w:rPr>
          <w:rFonts w:hint="eastAsia" w:ascii="仿宋" w:hAnsi="仿宋" w:eastAsia="仿宋" w:cstheme="minorBidi"/>
          <w:kern w:val="2"/>
          <w:sz w:val="28"/>
          <w:szCs w:val="28"/>
          <w:lang w:val="en-US" w:eastAsia="zh-CN" w:bidi="ar-SA"/>
        </w:rPr>
        <w:t>应至少包括抽样和调研情况、检测指标及方法、评价方法及过程、品质评价结论等。结论上要求一是各指标含量情况，以各指标的通用单位计；二是与同类产品差异性比较情况；三是各指标与产地环境相关性情况；四是采用数据处理和统计分析后，提出优质指标，确定关键物质或特征成分。</w:t>
      </w:r>
    </w:p>
    <w:p w14:paraId="776C40E5">
      <w:pPr>
        <w:pStyle w:val="14"/>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560" w:lineRule="exact"/>
        <w:ind w:leftChars="0" w:firstLine="560" w:firstLineChars="200"/>
        <w:textAlignment w:val="auto"/>
        <w:rPr>
          <w:rFonts w:hint="eastAsia"/>
          <w:lang w:val="en-US" w:eastAsia="zh-CN"/>
        </w:rPr>
      </w:pPr>
      <w:r>
        <w:rPr>
          <w:rFonts w:hint="eastAsia" w:ascii="仿宋" w:hAnsi="仿宋" w:eastAsia="仿宋" w:cstheme="minorBidi"/>
          <w:kern w:val="2"/>
          <w:sz w:val="28"/>
          <w:szCs w:val="28"/>
          <w:lang w:val="en-US" w:eastAsia="zh-CN" w:bidi="ar-SA"/>
        </w:rPr>
        <w:t>评价报告主要内容框架包括但不限于：抽样和调研情况、检测指标及方法、检测指标、检测方法、评价方法及过程、营养品质指标结果分析和评价、食味品质指标结果分析和评价、品质评价结论、指标含量范围、与同类产品差异性比较情况、各指标与产地环境相关性情况、提出优质指标、确定关键物质或特征成分等。</w:t>
      </w:r>
    </w:p>
    <w:p w14:paraId="71B309A8">
      <w:pPr>
        <w:keepNext w:val="0"/>
        <w:keepLines w:val="0"/>
        <w:pageBreakBefore w:val="0"/>
        <w:widowControl w:val="0"/>
        <w:numPr>
          <w:ilvl w:val="0"/>
          <w:numId w:val="4"/>
        </w:numPr>
        <w:kinsoku/>
        <w:wordWrap/>
        <w:overflowPunct/>
        <w:topLinePunct w:val="0"/>
        <w:autoSpaceDE/>
        <w:autoSpaceDN/>
        <w:bidi w:val="0"/>
        <w:adjustRightInd/>
        <w:snapToGrid/>
        <w:ind w:firstLine="562" w:firstLineChars="200"/>
        <w:textAlignment w:val="auto"/>
        <w:rPr>
          <w:rFonts w:hint="eastAsia" w:ascii="仿宋" w:hAnsi="仿宋" w:eastAsia="仿宋"/>
          <w:b/>
          <w:sz w:val="28"/>
          <w:szCs w:val="28"/>
          <w:lang w:val="en-US" w:eastAsia="zh-CN"/>
        </w:rPr>
      </w:pPr>
      <w:r>
        <w:rPr>
          <w:rFonts w:hint="eastAsia" w:ascii="仿宋" w:hAnsi="仿宋" w:eastAsia="仿宋"/>
          <w:b/>
          <w:sz w:val="28"/>
          <w:szCs w:val="28"/>
          <w:lang w:val="en-US" w:eastAsia="zh-CN"/>
        </w:rPr>
        <w:t>是否为本领域市场新技术、新产品、新服务的标准化转化（说明产品特性、技术要求等内容）</w:t>
      </w:r>
    </w:p>
    <w:p w14:paraId="676B041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 w:hAnsi="仿宋" w:eastAsia="仿宋"/>
          <w:color w:val="000000" w:themeColor="text1"/>
          <w:sz w:val="28"/>
          <w:szCs w:val="28"/>
          <w:lang w:val="en-US" w:eastAsia="zh-CN"/>
          <w14:textFill>
            <w14:solidFill>
              <w14:schemeClr w14:val="tx1"/>
            </w14:solidFill>
          </w14:textFill>
        </w:rPr>
      </w:pPr>
      <w:r>
        <w:rPr>
          <w:rFonts w:hint="eastAsia" w:ascii="仿宋" w:hAnsi="仿宋" w:eastAsia="仿宋" w:cs="Times New Roman"/>
          <w:kern w:val="0"/>
          <w:sz w:val="28"/>
          <w:szCs w:val="28"/>
          <w:lang w:val="en-US" w:eastAsia="zh-CN" w:bidi="ar-SA"/>
        </w:rPr>
        <w:t>否。</w:t>
      </w:r>
    </w:p>
    <w:p w14:paraId="1DDFBCBF">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 w:hAnsi="仿宋" w:eastAsia="仿宋"/>
          <w:b/>
          <w:sz w:val="28"/>
          <w:szCs w:val="28"/>
        </w:rPr>
      </w:pPr>
      <w:r>
        <w:rPr>
          <w:rFonts w:hint="eastAsia" w:ascii="仿宋" w:hAnsi="仿宋" w:eastAsia="仿宋"/>
          <w:b/>
          <w:sz w:val="28"/>
          <w:szCs w:val="28"/>
        </w:rPr>
        <w:t>六、重大意见分歧的处理依据和结果</w:t>
      </w:r>
    </w:p>
    <w:p w14:paraId="173F639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sz w:val="28"/>
          <w:szCs w:val="28"/>
        </w:rPr>
      </w:pPr>
      <w:r>
        <w:rPr>
          <w:rFonts w:hint="eastAsia" w:ascii="仿宋" w:hAnsi="仿宋" w:eastAsia="仿宋"/>
          <w:sz w:val="28"/>
          <w:szCs w:val="28"/>
        </w:rPr>
        <w:t>本文件在编写过程中没有重大意见分歧。</w:t>
      </w:r>
    </w:p>
    <w:p w14:paraId="0F2E80A3">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 w:hAnsi="仿宋" w:eastAsia="仿宋"/>
          <w:b/>
          <w:sz w:val="28"/>
          <w:szCs w:val="28"/>
        </w:rPr>
      </w:pPr>
      <w:r>
        <w:rPr>
          <w:rFonts w:hint="eastAsia" w:ascii="仿宋" w:hAnsi="仿宋" w:eastAsia="仿宋"/>
          <w:b/>
          <w:sz w:val="28"/>
          <w:szCs w:val="28"/>
        </w:rPr>
        <w:t>七、</w:t>
      </w:r>
      <w:r>
        <w:rPr>
          <w:rFonts w:ascii="仿宋" w:hAnsi="仿宋" w:eastAsia="仿宋"/>
          <w:b/>
          <w:sz w:val="28"/>
          <w:szCs w:val="28"/>
        </w:rPr>
        <w:t>采用国际标准或国外先进标准的，说明采标程度，以及国内外同类标准水平的对比情况</w:t>
      </w:r>
    </w:p>
    <w:p w14:paraId="4224F2F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本文件未采用国际标准或国外先进标准。</w:t>
      </w:r>
    </w:p>
    <w:p w14:paraId="0E44065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b/>
          <w:sz w:val="28"/>
          <w:szCs w:val="28"/>
          <w:lang w:val="en-US" w:eastAsia="zh-CN"/>
        </w:rPr>
      </w:pPr>
      <w:r>
        <w:rPr>
          <w:rFonts w:hint="eastAsia" w:ascii="仿宋" w:hAnsi="仿宋" w:eastAsia="仿宋"/>
          <w:b/>
          <w:sz w:val="28"/>
          <w:szCs w:val="28"/>
          <w:lang w:val="en-US" w:eastAsia="zh-CN"/>
        </w:rPr>
        <w:t>八、推广应用（包括实施措施；实施方向、如以标准为依据开展的产业推进、行业管理等有关活动）</w:t>
      </w:r>
    </w:p>
    <w:p w14:paraId="3D190F0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无 。</w:t>
      </w:r>
    </w:p>
    <w:p w14:paraId="1603C286">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 w:hAnsi="仿宋" w:eastAsia="仿宋"/>
          <w:b/>
          <w:sz w:val="28"/>
          <w:szCs w:val="28"/>
        </w:rPr>
      </w:pPr>
      <w:r>
        <w:rPr>
          <w:rFonts w:hint="eastAsia" w:ascii="仿宋" w:hAnsi="仿宋" w:eastAsia="仿宋"/>
          <w:b/>
          <w:sz w:val="28"/>
          <w:szCs w:val="28"/>
        </w:rPr>
        <w:t>八、其他应说明的事项</w:t>
      </w:r>
    </w:p>
    <w:p w14:paraId="4EA2F8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sz w:val="28"/>
          <w:szCs w:val="28"/>
        </w:rPr>
      </w:pPr>
      <w:r>
        <w:rPr>
          <w:rFonts w:hint="eastAsia" w:ascii="仿宋" w:hAnsi="仿宋" w:eastAsia="仿宋"/>
          <w:sz w:val="28"/>
          <w:szCs w:val="28"/>
        </w:rPr>
        <w:t>无 。</w:t>
      </w:r>
    </w:p>
    <w:p w14:paraId="114C2728">
      <w:pPr>
        <w:keepNext w:val="0"/>
        <w:keepLines w:val="0"/>
        <w:pageBreakBefore w:val="0"/>
        <w:widowControl w:val="0"/>
        <w:numPr>
          <w:ilvl w:val="0"/>
          <w:numId w:val="5"/>
        </w:numPr>
        <w:kinsoku/>
        <w:wordWrap/>
        <w:overflowPunct/>
        <w:topLinePunct w:val="0"/>
        <w:autoSpaceDE/>
        <w:autoSpaceDN/>
        <w:bidi w:val="0"/>
        <w:adjustRightInd/>
        <w:snapToGrid/>
        <w:ind w:firstLine="562" w:firstLineChars="200"/>
        <w:textAlignment w:val="auto"/>
        <w:rPr>
          <w:rFonts w:hint="eastAsia" w:ascii="仿宋" w:hAnsi="仿宋" w:eastAsia="仿宋"/>
          <w:b/>
          <w:sz w:val="28"/>
          <w:szCs w:val="28"/>
        </w:rPr>
      </w:pPr>
      <w:r>
        <w:rPr>
          <w:rFonts w:hint="eastAsia" w:ascii="仿宋" w:hAnsi="仿宋" w:eastAsia="仿宋"/>
          <w:b/>
          <w:sz w:val="28"/>
          <w:szCs w:val="28"/>
        </w:rPr>
        <w:t>征求意见说明</w:t>
      </w:r>
    </w:p>
    <w:p w14:paraId="17FA2435">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b/>
          <w:sz w:val="28"/>
          <w:szCs w:val="28"/>
        </w:rPr>
      </w:pPr>
    </w:p>
    <w:p w14:paraId="6D1392DA">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b/>
          <w:sz w:val="28"/>
          <w:szCs w:val="28"/>
        </w:rPr>
      </w:pPr>
    </w:p>
    <w:p w14:paraId="3BDC94D0">
      <w:pPr>
        <w:jc w:val="center"/>
        <w:rPr>
          <w:rFonts w:hint="eastAsia" w:asciiTheme="minorEastAsia" w:hAnsiTheme="minorEastAsia"/>
          <w:bCs/>
          <w:sz w:val="28"/>
          <w:szCs w:val="28"/>
        </w:rPr>
      </w:pPr>
    </w:p>
    <w:p w14:paraId="4858794E">
      <w:pPr>
        <w:jc w:val="center"/>
        <w:rPr>
          <w:rFonts w:hint="eastAsia" w:asciiTheme="minorEastAsia" w:hAnsiTheme="minorEastAsia"/>
          <w:bCs/>
          <w:sz w:val="28"/>
          <w:szCs w:val="28"/>
        </w:rPr>
      </w:pPr>
    </w:p>
    <w:p w14:paraId="12E64447">
      <w:pPr>
        <w:jc w:val="center"/>
        <w:rPr>
          <w:rFonts w:hint="eastAsia" w:asciiTheme="minorEastAsia" w:hAnsiTheme="minorEastAsia"/>
          <w:bCs/>
          <w:sz w:val="28"/>
          <w:szCs w:val="28"/>
        </w:rPr>
      </w:pPr>
    </w:p>
    <w:p w14:paraId="1E78F76F">
      <w:pPr>
        <w:jc w:val="center"/>
        <w:rPr>
          <w:rFonts w:hint="eastAsia" w:asciiTheme="minorEastAsia" w:hAnsiTheme="minorEastAsia"/>
          <w:bCs/>
          <w:sz w:val="28"/>
          <w:szCs w:val="28"/>
        </w:rPr>
      </w:pPr>
      <w:bookmarkStart w:id="0" w:name="_GoBack"/>
      <w:bookmarkEnd w:id="0"/>
      <w:r>
        <w:rPr>
          <w:rFonts w:hint="eastAsia" w:asciiTheme="minorEastAsia" w:hAnsiTheme="minorEastAsia"/>
          <w:bCs/>
          <w:sz w:val="28"/>
          <w:szCs w:val="28"/>
        </w:rPr>
        <w:t>《</w:t>
      </w:r>
      <w:r>
        <w:rPr>
          <w:rFonts w:hint="eastAsia" w:asciiTheme="minorEastAsia" w:hAnsiTheme="minorEastAsia"/>
          <w:bCs/>
          <w:sz w:val="28"/>
          <w:szCs w:val="28"/>
          <w:lang w:val="en-US" w:eastAsia="zh-CN"/>
        </w:rPr>
        <w:t>内蒙古优势特色农畜产品品质评价管理技术规范  鲜食马铃薯</w:t>
      </w:r>
      <w:r>
        <w:rPr>
          <w:rFonts w:hint="eastAsia" w:asciiTheme="minorEastAsia" w:hAnsiTheme="minorEastAsia"/>
          <w:bCs/>
          <w:sz w:val="28"/>
          <w:szCs w:val="28"/>
        </w:rPr>
        <w:t>》</w:t>
      </w:r>
    </w:p>
    <w:p w14:paraId="0B2CEA76">
      <w:pPr>
        <w:jc w:val="center"/>
        <w:rPr>
          <w:rFonts w:hint="eastAsia" w:asciiTheme="minorEastAsia" w:hAnsiTheme="minorEastAsia"/>
          <w:bCs/>
          <w:sz w:val="28"/>
          <w:szCs w:val="28"/>
        </w:rPr>
      </w:pPr>
      <w:r>
        <w:rPr>
          <w:rFonts w:hint="eastAsia" w:asciiTheme="minorEastAsia" w:hAnsiTheme="minorEastAsia"/>
          <w:bCs/>
          <w:sz w:val="28"/>
          <w:szCs w:val="28"/>
        </w:rPr>
        <w:t>征求意见汇总表</w:t>
      </w:r>
    </w:p>
    <w:p w14:paraId="1E665E37">
      <w:pPr>
        <w:jc w:val="left"/>
        <w:rPr>
          <w:rFonts w:hint="eastAsia" w:ascii="宋体" w:hAnsi="宋体" w:eastAsia="宋体"/>
          <w:sz w:val="24"/>
          <w:szCs w:val="24"/>
        </w:rPr>
      </w:pPr>
      <w:r>
        <w:rPr>
          <w:rFonts w:hint="eastAsia" w:ascii="宋体" w:hAnsi="宋体" w:eastAsia="宋体"/>
          <w:sz w:val="24"/>
          <w:szCs w:val="24"/>
        </w:rPr>
        <w:t>起草单位：</w:t>
      </w:r>
      <w:r>
        <w:rPr>
          <w:rFonts w:ascii="宋体" w:hAnsi="宋体" w:eastAsia="宋体"/>
          <w:sz w:val="24"/>
          <w:szCs w:val="24"/>
        </w:rPr>
        <w:t xml:space="preserve"> </w:t>
      </w:r>
      <w:r>
        <w:rPr>
          <w:rFonts w:hint="eastAsia" w:ascii="宋体" w:hAnsi="宋体" w:eastAsia="宋体"/>
          <w:sz w:val="24"/>
          <w:szCs w:val="24"/>
          <w:lang w:val="en-US" w:eastAsia="zh-CN"/>
        </w:rPr>
        <w:t>内蒙古自治区农牧厅、内蒙古自治区农畜产品质量安全中心</w:t>
      </w:r>
    </w:p>
    <w:p w14:paraId="69A5EF38">
      <w:pPr>
        <w:spacing w:line="360" w:lineRule="exact"/>
        <w:jc w:val="left"/>
        <w:rPr>
          <w:rFonts w:hint="default" w:ascii="宋体" w:hAnsi="宋体" w:eastAsia="宋体"/>
          <w:sz w:val="24"/>
          <w:szCs w:val="24"/>
          <w:lang w:val="en-US" w:eastAsia="zh-CN"/>
        </w:rPr>
      </w:pPr>
      <w:r>
        <w:rPr>
          <w:rFonts w:hint="eastAsia" w:ascii="宋体" w:hAnsi="宋体" w:eastAsia="宋体"/>
          <w:sz w:val="24"/>
          <w:szCs w:val="24"/>
        </w:rPr>
        <w:t>联 系 人：</w:t>
      </w:r>
      <w:r>
        <w:rPr>
          <w:rFonts w:ascii="宋体" w:hAnsi="宋体" w:eastAsia="宋体"/>
          <w:sz w:val="24"/>
          <w:szCs w:val="24"/>
        </w:rPr>
        <w:t xml:space="preserve"> </w:t>
      </w:r>
      <w:r>
        <w:rPr>
          <w:rFonts w:hint="eastAsia" w:ascii="宋体" w:hAnsi="宋体" w:eastAsia="宋体"/>
          <w:sz w:val="24"/>
          <w:szCs w:val="24"/>
          <w:lang w:val="en-US" w:eastAsia="zh-CN"/>
        </w:rPr>
        <w:t>张欣昕</w:t>
      </w:r>
    </w:p>
    <w:p w14:paraId="5BFB65F8">
      <w:pPr>
        <w:spacing w:line="360" w:lineRule="exact"/>
        <w:jc w:val="left"/>
        <w:rPr>
          <w:rFonts w:ascii="宋体" w:hAnsi="宋体" w:eastAsia="宋体"/>
          <w:sz w:val="24"/>
          <w:szCs w:val="24"/>
        </w:rPr>
      </w:pPr>
      <w:r>
        <w:rPr>
          <w:rFonts w:hint="eastAsia" w:ascii="宋体" w:hAnsi="宋体" w:eastAsia="宋体"/>
          <w:sz w:val="24"/>
          <w:szCs w:val="24"/>
        </w:rPr>
        <w:t xml:space="preserve">联系电话： </w:t>
      </w:r>
      <w:r>
        <w:rPr>
          <w:rFonts w:hint="eastAsia" w:ascii="宋体" w:hAnsi="宋体" w:eastAsia="宋体"/>
          <w:sz w:val="24"/>
          <w:szCs w:val="24"/>
          <w:lang w:val="en-US" w:eastAsia="zh-CN"/>
        </w:rPr>
        <w:t>18686086469</w:t>
      </w:r>
      <w:r>
        <w:rPr>
          <w:rFonts w:hint="eastAsia" w:ascii="宋体" w:hAnsi="宋体" w:eastAsia="宋体"/>
          <w:sz w:val="24"/>
          <w:szCs w:val="24"/>
        </w:rPr>
        <w:t xml:space="preserve"> </w:t>
      </w:r>
    </w:p>
    <w:tbl>
      <w:tblPr>
        <w:tblStyle w:val="6"/>
        <w:tblW w:w="9028" w:type="dxa"/>
        <w:tblInd w:w="-3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417"/>
        <w:gridCol w:w="1843"/>
        <w:gridCol w:w="1843"/>
        <w:gridCol w:w="1275"/>
        <w:gridCol w:w="1754"/>
      </w:tblGrid>
      <w:tr w14:paraId="2FE5E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96" w:type="dxa"/>
            <w:vAlign w:val="center"/>
          </w:tcPr>
          <w:p w14:paraId="601AAA60">
            <w:pPr>
              <w:spacing w:line="400" w:lineRule="exact"/>
              <w:jc w:val="center"/>
              <w:rPr>
                <w:rFonts w:ascii="仿宋" w:hAnsi="仿宋" w:eastAsia="仿宋"/>
                <w:b/>
                <w:bCs/>
                <w:sz w:val="24"/>
              </w:rPr>
            </w:pPr>
            <w:r>
              <w:rPr>
                <w:rFonts w:hint="eastAsia" w:ascii="仿宋" w:hAnsi="仿宋" w:eastAsia="仿宋"/>
                <w:b/>
                <w:bCs/>
                <w:sz w:val="24"/>
              </w:rPr>
              <w:t>序号</w:t>
            </w:r>
          </w:p>
        </w:tc>
        <w:tc>
          <w:tcPr>
            <w:tcW w:w="1417" w:type="dxa"/>
            <w:vAlign w:val="center"/>
          </w:tcPr>
          <w:p w14:paraId="3482125F">
            <w:pPr>
              <w:spacing w:line="400" w:lineRule="exact"/>
              <w:jc w:val="center"/>
              <w:rPr>
                <w:rFonts w:ascii="仿宋" w:hAnsi="仿宋" w:eastAsia="仿宋"/>
                <w:b/>
                <w:bCs/>
                <w:sz w:val="24"/>
              </w:rPr>
            </w:pPr>
            <w:r>
              <w:rPr>
                <w:rFonts w:hint="eastAsia" w:ascii="仿宋" w:hAnsi="仿宋" w:eastAsia="仿宋"/>
                <w:b/>
                <w:bCs/>
                <w:sz w:val="24"/>
              </w:rPr>
              <w:t>章节编号</w:t>
            </w:r>
          </w:p>
        </w:tc>
        <w:tc>
          <w:tcPr>
            <w:tcW w:w="1843" w:type="dxa"/>
            <w:vAlign w:val="center"/>
          </w:tcPr>
          <w:p w14:paraId="63612D9B">
            <w:pPr>
              <w:spacing w:line="400" w:lineRule="exact"/>
              <w:jc w:val="center"/>
              <w:rPr>
                <w:rFonts w:ascii="仿宋" w:hAnsi="仿宋" w:eastAsia="仿宋"/>
                <w:b/>
                <w:bCs/>
                <w:sz w:val="24"/>
              </w:rPr>
            </w:pPr>
            <w:r>
              <w:rPr>
                <w:rFonts w:hint="eastAsia" w:ascii="仿宋" w:hAnsi="仿宋" w:eastAsia="仿宋"/>
                <w:b/>
                <w:bCs/>
                <w:sz w:val="24"/>
              </w:rPr>
              <w:t>意见</w:t>
            </w:r>
          </w:p>
        </w:tc>
        <w:tc>
          <w:tcPr>
            <w:tcW w:w="1843" w:type="dxa"/>
            <w:vAlign w:val="center"/>
          </w:tcPr>
          <w:p w14:paraId="5B296530">
            <w:pPr>
              <w:spacing w:line="400" w:lineRule="exact"/>
              <w:jc w:val="center"/>
              <w:rPr>
                <w:rFonts w:ascii="仿宋" w:hAnsi="仿宋" w:eastAsia="仿宋"/>
                <w:b/>
                <w:bCs/>
                <w:sz w:val="24"/>
              </w:rPr>
            </w:pPr>
            <w:r>
              <w:rPr>
                <w:rFonts w:hint="eastAsia" w:ascii="仿宋" w:hAnsi="仿宋" w:eastAsia="仿宋"/>
                <w:b/>
                <w:bCs/>
                <w:sz w:val="24"/>
              </w:rPr>
              <w:t>提出单位/专家</w:t>
            </w:r>
          </w:p>
        </w:tc>
        <w:tc>
          <w:tcPr>
            <w:tcW w:w="1275" w:type="dxa"/>
            <w:vAlign w:val="center"/>
          </w:tcPr>
          <w:p w14:paraId="087FAABB">
            <w:pPr>
              <w:spacing w:line="400" w:lineRule="exact"/>
              <w:jc w:val="center"/>
              <w:rPr>
                <w:rFonts w:ascii="仿宋" w:hAnsi="仿宋" w:eastAsia="仿宋"/>
                <w:b/>
                <w:bCs/>
                <w:sz w:val="24"/>
              </w:rPr>
            </w:pPr>
            <w:r>
              <w:rPr>
                <w:rFonts w:hint="eastAsia" w:ascii="仿宋" w:hAnsi="仿宋" w:eastAsia="仿宋"/>
                <w:b/>
                <w:bCs/>
                <w:sz w:val="24"/>
              </w:rPr>
              <w:t>是否采纳</w:t>
            </w:r>
          </w:p>
        </w:tc>
        <w:tc>
          <w:tcPr>
            <w:tcW w:w="1754" w:type="dxa"/>
            <w:vAlign w:val="center"/>
          </w:tcPr>
          <w:p w14:paraId="345D4515">
            <w:pPr>
              <w:spacing w:line="400" w:lineRule="exact"/>
              <w:jc w:val="center"/>
              <w:rPr>
                <w:rFonts w:ascii="仿宋" w:hAnsi="仿宋" w:eastAsia="仿宋"/>
                <w:b/>
                <w:bCs/>
                <w:sz w:val="24"/>
              </w:rPr>
            </w:pPr>
            <w:r>
              <w:rPr>
                <w:rFonts w:hint="eastAsia" w:ascii="仿宋" w:hAnsi="仿宋" w:eastAsia="仿宋"/>
                <w:b/>
                <w:bCs/>
                <w:sz w:val="24"/>
              </w:rPr>
              <w:t>不采纳</w:t>
            </w:r>
          </w:p>
          <w:p w14:paraId="28F2C724">
            <w:pPr>
              <w:spacing w:line="400" w:lineRule="exact"/>
              <w:jc w:val="center"/>
              <w:rPr>
                <w:rFonts w:ascii="仿宋" w:hAnsi="仿宋" w:eastAsia="仿宋"/>
                <w:b/>
                <w:bCs/>
                <w:sz w:val="24"/>
              </w:rPr>
            </w:pPr>
            <w:r>
              <w:rPr>
                <w:rFonts w:hint="eastAsia" w:ascii="仿宋" w:hAnsi="仿宋" w:eastAsia="仿宋"/>
                <w:b/>
                <w:bCs/>
                <w:sz w:val="24"/>
              </w:rPr>
              <w:t>（说明原因）</w:t>
            </w:r>
          </w:p>
        </w:tc>
      </w:tr>
      <w:tr w14:paraId="6576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896" w:type="dxa"/>
            <w:vAlign w:val="center"/>
          </w:tcPr>
          <w:p w14:paraId="350E96ED">
            <w:pPr>
              <w:spacing w:line="400" w:lineRule="exact"/>
              <w:jc w:val="center"/>
              <w:rPr>
                <w:rFonts w:ascii="仿宋" w:hAnsi="仿宋" w:eastAsia="仿宋"/>
                <w:sz w:val="24"/>
              </w:rPr>
            </w:pPr>
            <w:r>
              <w:rPr>
                <w:rFonts w:hint="eastAsia" w:ascii="仿宋" w:hAnsi="仿宋" w:eastAsia="仿宋"/>
                <w:sz w:val="24"/>
              </w:rPr>
              <w:t>1</w:t>
            </w:r>
          </w:p>
        </w:tc>
        <w:tc>
          <w:tcPr>
            <w:tcW w:w="1417" w:type="dxa"/>
            <w:vAlign w:val="center"/>
          </w:tcPr>
          <w:p w14:paraId="12A0FF81">
            <w:pPr>
              <w:spacing w:line="400" w:lineRule="exact"/>
              <w:jc w:val="left"/>
              <w:rPr>
                <w:rFonts w:ascii="仿宋" w:hAnsi="仿宋" w:eastAsia="仿宋"/>
                <w:sz w:val="28"/>
                <w:szCs w:val="28"/>
              </w:rPr>
            </w:pPr>
          </w:p>
        </w:tc>
        <w:tc>
          <w:tcPr>
            <w:tcW w:w="1843" w:type="dxa"/>
            <w:vAlign w:val="center"/>
          </w:tcPr>
          <w:p w14:paraId="4A10592A">
            <w:pPr>
              <w:spacing w:line="400" w:lineRule="exact"/>
              <w:jc w:val="left"/>
              <w:rPr>
                <w:rFonts w:ascii="仿宋" w:hAnsi="仿宋" w:eastAsia="仿宋"/>
                <w:sz w:val="28"/>
                <w:szCs w:val="28"/>
              </w:rPr>
            </w:pPr>
          </w:p>
        </w:tc>
        <w:tc>
          <w:tcPr>
            <w:tcW w:w="1843" w:type="dxa"/>
            <w:vAlign w:val="center"/>
          </w:tcPr>
          <w:p w14:paraId="3350878B">
            <w:pPr>
              <w:spacing w:line="400" w:lineRule="exact"/>
              <w:jc w:val="left"/>
              <w:rPr>
                <w:rFonts w:ascii="仿宋" w:hAnsi="仿宋" w:eastAsia="仿宋"/>
                <w:sz w:val="28"/>
                <w:szCs w:val="28"/>
              </w:rPr>
            </w:pPr>
          </w:p>
        </w:tc>
        <w:tc>
          <w:tcPr>
            <w:tcW w:w="1275" w:type="dxa"/>
            <w:vAlign w:val="center"/>
          </w:tcPr>
          <w:p w14:paraId="503ADD08">
            <w:pPr>
              <w:spacing w:line="400" w:lineRule="exact"/>
              <w:jc w:val="left"/>
              <w:rPr>
                <w:rFonts w:ascii="仿宋" w:hAnsi="仿宋" w:eastAsia="仿宋"/>
                <w:sz w:val="24"/>
              </w:rPr>
            </w:pPr>
          </w:p>
        </w:tc>
        <w:tc>
          <w:tcPr>
            <w:tcW w:w="1754" w:type="dxa"/>
            <w:vAlign w:val="center"/>
          </w:tcPr>
          <w:p w14:paraId="5122284B">
            <w:pPr>
              <w:spacing w:line="400" w:lineRule="exact"/>
              <w:jc w:val="left"/>
              <w:rPr>
                <w:rFonts w:ascii="仿宋" w:hAnsi="仿宋" w:eastAsia="仿宋"/>
                <w:sz w:val="24"/>
              </w:rPr>
            </w:pPr>
          </w:p>
        </w:tc>
      </w:tr>
      <w:tr w14:paraId="7D99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96" w:type="dxa"/>
            <w:vAlign w:val="center"/>
          </w:tcPr>
          <w:p w14:paraId="39816C02">
            <w:pPr>
              <w:spacing w:line="400" w:lineRule="exact"/>
              <w:jc w:val="center"/>
              <w:rPr>
                <w:rFonts w:ascii="仿宋" w:hAnsi="仿宋" w:eastAsia="仿宋"/>
                <w:sz w:val="24"/>
              </w:rPr>
            </w:pPr>
            <w:r>
              <w:rPr>
                <w:rFonts w:hint="eastAsia" w:ascii="仿宋" w:hAnsi="仿宋" w:eastAsia="仿宋"/>
                <w:sz w:val="24"/>
              </w:rPr>
              <w:t>2</w:t>
            </w:r>
          </w:p>
        </w:tc>
        <w:tc>
          <w:tcPr>
            <w:tcW w:w="1417" w:type="dxa"/>
            <w:vAlign w:val="center"/>
          </w:tcPr>
          <w:p w14:paraId="064E05F2">
            <w:pPr>
              <w:spacing w:line="400" w:lineRule="exact"/>
              <w:jc w:val="left"/>
              <w:rPr>
                <w:rFonts w:ascii="仿宋" w:hAnsi="仿宋" w:eastAsia="仿宋"/>
                <w:sz w:val="28"/>
                <w:szCs w:val="28"/>
              </w:rPr>
            </w:pPr>
          </w:p>
        </w:tc>
        <w:tc>
          <w:tcPr>
            <w:tcW w:w="1843" w:type="dxa"/>
            <w:vAlign w:val="center"/>
          </w:tcPr>
          <w:p w14:paraId="36075633">
            <w:pPr>
              <w:spacing w:line="400" w:lineRule="exact"/>
              <w:jc w:val="left"/>
              <w:rPr>
                <w:rFonts w:ascii="仿宋" w:hAnsi="仿宋" w:eastAsia="仿宋"/>
                <w:sz w:val="28"/>
                <w:szCs w:val="28"/>
              </w:rPr>
            </w:pPr>
          </w:p>
        </w:tc>
        <w:tc>
          <w:tcPr>
            <w:tcW w:w="1843" w:type="dxa"/>
            <w:vAlign w:val="center"/>
          </w:tcPr>
          <w:p w14:paraId="67EED451">
            <w:pPr>
              <w:spacing w:line="400" w:lineRule="exact"/>
              <w:jc w:val="left"/>
              <w:rPr>
                <w:rFonts w:ascii="仿宋" w:hAnsi="仿宋" w:eastAsia="仿宋"/>
                <w:sz w:val="28"/>
                <w:szCs w:val="28"/>
              </w:rPr>
            </w:pPr>
          </w:p>
        </w:tc>
        <w:tc>
          <w:tcPr>
            <w:tcW w:w="1275" w:type="dxa"/>
            <w:vAlign w:val="center"/>
          </w:tcPr>
          <w:p w14:paraId="0B3985C0">
            <w:pPr>
              <w:spacing w:line="400" w:lineRule="exact"/>
              <w:jc w:val="left"/>
              <w:rPr>
                <w:rFonts w:ascii="仿宋" w:hAnsi="仿宋" w:eastAsia="仿宋"/>
                <w:sz w:val="24"/>
              </w:rPr>
            </w:pPr>
          </w:p>
        </w:tc>
        <w:tc>
          <w:tcPr>
            <w:tcW w:w="1754" w:type="dxa"/>
            <w:vAlign w:val="center"/>
          </w:tcPr>
          <w:p w14:paraId="7A565B04">
            <w:pPr>
              <w:spacing w:line="400" w:lineRule="exact"/>
              <w:jc w:val="left"/>
              <w:rPr>
                <w:rFonts w:ascii="仿宋" w:hAnsi="仿宋" w:eastAsia="仿宋"/>
                <w:sz w:val="24"/>
              </w:rPr>
            </w:pPr>
          </w:p>
        </w:tc>
      </w:tr>
      <w:tr w14:paraId="2D63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896" w:type="dxa"/>
            <w:vAlign w:val="center"/>
          </w:tcPr>
          <w:p w14:paraId="48E6F2B7">
            <w:pPr>
              <w:spacing w:line="400" w:lineRule="exact"/>
              <w:jc w:val="center"/>
              <w:rPr>
                <w:rFonts w:ascii="仿宋" w:hAnsi="仿宋" w:eastAsia="仿宋"/>
                <w:sz w:val="24"/>
              </w:rPr>
            </w:pPr>
            <w:r>
              <w:rPr>
                <w:rFonts w:hint="eastAsia" w:ascii="仿宋" w:hAnsi="仿宋" w:eastAsia="仿宋"/>
                <w:sz w:val="24"/>
              </w:rPr>
              <w:t>3</w:t>
            </w:r>
          </w:p>
        </w:tc>
        <w:tc>
          <w:tcPr>
            <w:tcW w:w="1417" w:type="dxa"/>
            <w:vAlign w:val="center"/>
          </w:tcPr>
          <w:p w14:paraId="3F6D9BEB">
            <w:pPr>
              <w:spacing w:line="400" w:lineRule="exact"/>
              <w:rPr>
                <w:rFonts w:ascii="仿宋" w:hAnsi="仿宋" w:eastAsia="仿宋"/>
                <w:sz w:val="28"/>
                <w:szCs w:val="28"/>
              </w:rPr>
            </w:pPr>
          </w:p>
        </w:tc>
        <w:tc>
          <w:tcPr>
            <w:tcW w:w="1843" w:type="dxa"/>
            <w:vAlign w:val="center"/>
          </w:tcPr>
          <w:p w14:paraId="4875D6BB">
            <w:pPr>
              <w:spacing w:line="400" w:lineRule="exact"/>
              <w:jc w:val="left"/>
              <w:rPr>
                <w:rFonts w:ascii="仿宋" w:hAnsi="仿宋" w:eastAsia="仿宋"/>
                <w:sz w:val="28"/>
                <w:szCs w:val="28"/>
              </w:rPr>
            </w:pPr>
          </w:p>
        </w:tc>
        <w:tc>
          <w:tcPr>
            <w:tcW w:w="1843" w:type="dxa"/>
            <w:vAlign w:val="center"/>
          </w:tcPr>
          <w:p w14:paraId="119629F3">
            <w:pPr>
              <w:spacing w:line="400" w:lineRule="exact"/>
              <w:jc w:val="left"/>
              <w:rPr>
                <w:rFonts w:ascii="仿宋" w:hAnsi="仿宋" w:eastAsia="仿宋"/>
                <w:sz w:val="28"/>
                <w:szCs w:val="28"/>
              </w:rPr>
            </w:pPr>
          </w:p>
        </w:tc>
        <w:tc>
          <w:tcPr>
            <w:tcW w:w="1275" w:type="dxa"/>
            <w:vAlign w:val="center"/>
          </w:tcPr>
          <w:p w14:paraId="4AE2F2EC">
            <w:pPr>
              <w:spacing w:line="400" w:lineRule="exact"/>
              <w:jc w:val="left"/>
              <w:rPr>
                <w:rFonts w:ascii="Arial" w:hAnsi="Arial" w:eastAsia="仿宋" w:cs="Arial"/>
                <w:sz w:val="24"/>
              </w:rPr>
            </w:pPr>
          </w:p>
        </w:tc>
        <w:tc>
          <w:tcPr>
            <w:tcW w:w="1754" w:type="dxa"/>
            <w:vAlign w:val="center"/>
          </w:tcPr>
          <w:p w14:paraId="11B6D074">
            <w:pPr>
              <w:spacing w:line="400" w:lineRule="exact"/>
              <w:jc w:val="left"/>
              <w:rPr>
                <w:rFonts w:ascii="仿宋" w:hAnsi="仿宋" w:eastAsia="仿宋"/>
                <w:sz w:val="24"/>
              </w:rPr>
            </w:pPr>
          </w:p>
        </w:tc>
      </w:tr>
      <w:tr w14:paraId="288E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896" w:type="dxa"/>
            <w:vAlign w:val="center"/>
          </w:tcPr>
          <w:p w14:paraId="485D9AD2">
            <w:pPr>
              <w:spacing w:line="400" w:lineRule="exact"/>
              <w:jc w:val="center"/>
              <w:rPr>
                <w:rFonts w:ascii="仿宋" w:hAnsi="仿宋" w:eastAsia="仿宋"/>
                <w:sz w:val="24"/>
              </w:rPr>
            </w:pPr>
            <w:r>
              <w:rPr>
                <w:rFonts w:hint="eastAsia" w:ascii="仿宋" w:hAnsi="仿宋" w:eastAsia="仿宋"/>
                <w:sz w:val="24"/>
              </w:rPr>
              <w:t>4</w:t>
            </w:r>
          </w:p>
        </w:tc>
        <w:tc>
          <w:tcPr>
            <w:tcW w:w="1417" w:type="dxa"/>
            <w:vAlign w:val="center"/>
          </w:tcPr>
          <w:p w14:paraId="025D705E">
            <w:pPr>
              <w:spacing w:line="400" w:lineRule="exact"/>
              <w:rPr>
                <w:rFonts w:ascii="仿宋" w:hAnsi="仿宋" w:eastAsia="仿宋"/>
                <w:sz w:val="28"/>
                <w:szCs w:val="28"/>
              </w:rPr>
            </w:pPr>
          </w:p>
        </w:tc>
        <w:tc>
          <w:tcPr>
            <w:tcW w:w="1843" w:type="dxa"/>
            <w:vAlign w:val="center"/>
          </w:tcPr>
          <w:p w14:paraId="77A68CEF">
            <w:pPr>
              <w:spacing w:line="400" w:lineRule="exact"/>
              <w:jc w:val="left"/>
              <w:rPr>
                <w:rFonts w:ascii="仿宋" w:hAnsi="仿宋" w:eastAsia="仿宋"/>
                <w:sz w:val="28"/>
                <w:szCs w:val="28"/>
              </w:rPr>
            </w:pPr>
          </w:p>
        </w:tc>
        <w:tc>
          <w:tcPr>
            <w:tcW w:w="1843" w:type="dxa"/>
            <w:vAlign w:val="center"/>
          </w:tcPr>
          <w:p w14:paraId="34DCE074">
            <w:pPr>
              <w:spacing w:line="400" w:lineRule="exact"/>
              <w:jc w:val="left"/>
              <w:rPr>
                <w:rFonts w:ascii="仿宋" w:hAnsi="仿宋" w:eastAsia="仿宋"/>
                <w:sz w:val="28"/>
                <w:szCs w:val="28"/>
              </w:rPr>
            </w:pPr>
          </w:p>
        </w:tc>
        <w:tc>
          <w:tcPr>
            <w:tcW w:w="1275" w:type="dxa"/>
            <w:vAlign w:val="center"/>
          </w:tcPr>
          <w:p w14:paraId="154D3E52">
            <w:pPr>
              <w:spacing w:line="400" w:lineRule="exact"/>
              <w:jc w:val="left"/>
              <w:rPr>
                <w:rFonts w:ascii="Arial" w:hAnsi="Arial" w:eastAsia="仿宋" w:cs="Arial"/>
                <w:sz w:val="24"/>
              </w:rPr>
            </w:pPr>
          </w:p>
        </w:tc>
        <w:tc>
          <w:tcPr>
            <w:tcW w:w="1754" w:type="dxa"/>
            <w:vAlign w:val="center"/>
          </w:tcPr>
          <w:p w14:paraId="4A0C02BF">
            <w:pPr>
              <w:spacing w:line="400" w:lineRule="exact"/>
              <w:jc w:val="left"/>
              <w:rPr>
                <w:rFonts w:ascii="仿宋" w:hAnsi="仿宋" w:eastAsia="仿宋"/>
                <w:sz w:val="24"/>
              </w:rPr>
            </w:pPr>
          </w:p>
        </w:tc>
      </w:tr>
      <w:tr w14:paraId="23D5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896" w:type="dxa"/>
            <w:vAlign w:val="center"/>
          </w:tcPr>
          <w:p w14:paraId="51395D91">
            <w:pPr>
              <w:spacing w:line="400" w:lineRule="exact"/>
              <w:jc w:val="center"/>
              <w:rPr>
                <w:rFonts w:ascii="仿宋" w:hAnsi="仿宋" w:eastAsia="仿宋"/>
                <w:sz w:val="24"/>
              </w:rPr>
            </w:pPr>
            <w:r>
              <w:rPr>
                <w:rFonts w:hint="eastAsia" w:ascii="仿宋" w:hAnsi="仿宋" w:eastAsia="仿宋"/>
                <w:sz w:val="24"/>
              </w:rPr>
              <w:t>5</w:t>
            </w:r>
          </w:p>
        </w:tc>
        <w:tc>
          <w:tcPr>
            <w:tcW w:w="1417" w:type="dxa"/>
            <w:vAlign w:val="center"/>
          </w:tcPr>
          <w:p w14:paraId="7F9FF204">
            <w:pPr>
              <w:spacing w:line="400" w:lineRule="exact"/>
              <w:rPr>
                <w:rFonts w:ascii="仿宋" w:hAnsi="仿宋" w:eastAsia="仿宋"/>
                <w:sz w:val="28"/>
                <w:szCs w:val="28"/>
              </w:rPr>
            </w:pPr>
          </w:p>
        </w:tc>
        <w:tc>
          <w:tcPr>
            <w:tcW w:w="1843" w:type="dxa"/>
            <w:vAlign w:val="center"/>
          </w:tcPr>
          <w:p w14:paraId="1C890246">
            <w:pPr>
              <w:spacing w:line="400" w:lineRule="exact"/>
              <w:jc w:val="left"/>
              <w:rPr>
                <w:rFonts w:ascii="仿宋" w:hAnsi="仿宋" w:eastAsia="仿宋"/>
                <w:sz w:val="28"/>
                <w:szCs w:val="28"/>
              </w:rPr>
            </w:pPr>
          </w:p>
        </w:tc>
        <w:tc>
          <w:tcPr>
            <w:tcW w:w="1843" w:type="dxa"/>
            <w:vAlign w:val="center"/>
          </w:tcPr>
          <w:p w14:paraId="6D3C8345">
            <w:pPr>
              <w:spacing w:line="400" w:lineRule="exact"/>
              <w:jc w:val="left"/>
              <w:rPr>
                <w:rFonts w:ascii="仿宋" w:hAnsi="仿宋" w:eastAsia="仿宋"/>
                <w:sz w:val="28"/>
                <w:szCs w:val="28"/>
              </w:rPr>
            </w:pPr>
          </w:p>
        </w:tc>
        <w:tc>
          <w:tcPr>
            <w:tcW w:w="1275" w:type="dxa"/>
            <w:vAlign w:val="center"/>
          </w:tcPr>
          <w:p w14:paraId="14E9ED0A">
            <w:pPr>
              <w:spacing w:line="400" w:lineRule="exact"/>
              <w:jc w:val="left"/>
              <w:rPr>
                <w:rFonts w:ascii="Arial" w:hAnsi="Arial" w:eastAsia="仿宋" w:cs="Arial"/>
                <w:sz w:val="24"/>
              </w:rPr>
            </w:pPr>
          </w:p>
        </w:tc>
        <w:tc>
          <w:tcPr>
            <w:tcW w:w="1754" w:type="dxa"/>
            <w:vAlign w:val="center"/>
          </w:tcPr>
          <w:p w14:paraId="7649B0C8">
            <w:pPr>
              <w:spacing w:line="400" w:lineRule="exact"/>
              <w:jc w:val="left"/>
              <w:rPr>
                <w:rFonts w:ascii="仿宋" w:hAnsi="仿宋" w:eastAsia="仿宋"/>
                <w:sz w:val="24"/>
              </w:rPr>
            </w:pPr>
          </w:p>
        </w:tc>
      </w:tr>
    </w:tbl>
    <w:p w14:paraId="5E56B0A4">
      <w:pPr>
        <w:rPr>
          <w:rFonts w:ascii="仿宋" w:hAnsi="仿宋" w:eastAsia="仿宋"/>
          <w:sz w:val="28"/>
          <w:szCs w:val="28"/>
        </w:rPr>
      </w:pPr>
    </w:p>
    <w:p w14:paraId="30345E35">
      <w:pPr>
        <w:wordWrap w:val="0"/>
        <w:spacing w:line="360" w:lineRule="auto"/>
        <w:ind w:firstLine="562" w:firstLineChars="200"/>
        <w:jc w:val="right"/>
        <w:rPr>
          <w:rFonts w:ascii="Times New Roman" w:hAnsi="Times New Roman" w:eastAsia="仿宋"/>
          <w:b/>
          <w:sz w:val="28"/>
          <w:szCs w:val="28"/>
        </w:rPr>
      </w:pPr>
      <w:r>
        <w:rPr>
          <w:rFonts w:ascii="Times New Roman" w:hAnsi="仿宋" w:eastAsia="仿宋"/>
          <w:b/>
          <w:sz w:val="28"/>
          <w:szCs w:val="28"/>
        </w:rPr>
        <w:t>起草组</w:t>
      </w:r>
      <w:r>
        <w:rPr>
          <w:rFonts w:ascii="Times New Roman" w:hAnsi="Times New Roman" w:eastAsia="仿宋"/>
          <w:b/>
          <w:sz w:val="28"/>
          <w:szCs w:val="28"/>
        </w:rPr>
        <w:t xml:space="preserve">  </w:t>
      </w:r>
    </w:p>
    <w:p w14:paraId="4BBBFCEB">
      <w:pPr>
        <w:rPr>
          <w:rFonts w:ascii="仿宋" w:hAnsi="仿宋" w:eastAsia="仿宋"/>
          <w:sz w:val="28"/>
          <w:szCs w:val="28"/>
        </w:rPr>
      </w:pPr>
      <w:r>
        <w:rPr>
          <w:rFonts w:ascii="Times New Roman" w:hAnsi="Times New Roman" w:eastAsia="仿宋"/>
          <w:b/>
          <w:sz w:val="28"/>
          <w:szCs w:val="28"/>
        </w:rPr>
        <w:t xml:space="preserve">                                               </w:t>
      </w:r>
      <w:r>
        <w:rPr>
          <w:rFonts w:hint="eastAsia" w:ascii="Times New Roman" w:hAnsi="Times New Roman" w:eastAsia="仿宋"/>
          <w:b/>
          <w:sz w:val="28"/>
          <w:szCs w:val="28"/>
          <w:lang w:val="en-US" w:eastAsia="zh-CN"/>
        </w:rPr>
        <w:t>2024</w:t>
      </w:r>
      <w:r>
        <w:rPr>
          <w:rFonts w:ascii="Times New Roman" w:hAnsi="Times New Roman" w:eastAsia="仿宋"/>
          <w:b/>
          <w:sz w:val="28"/>
          <w:szCs w:val="28"/>
        </w:rPr>
        <w:t xml:space="preserve"> </w:t>
      </w:r>
      <w:r>
        <w:rPr>
          <w:rFonts w:ascii="Times New Roman" w:hAnsi="仿宋" w:eastAsia="仿宋"/>
          <w:b/>
          <w:sz w:val="28"/>
          <w:szCs w:val="28"/>
        </w:rPr>
        <w:t>年</w:t>
      </w:r>
      <w:r>
        <w:rPr>
          <w:rFonts w:hint="eastAsia" w:ascii="Times New Roman" w:hAnsi="仿宋" w:eastAsia="仿宋"/>
          <w:b/>
          <w:sz w:val="28"/>
          <w:szCs w:val="28"/>
          <w:lang w:val="en-US" w:eastAsia="zh-CN"/>
        </w:rPr>
        <w:t>12</w:t>
      </w:r>
      <w:r>
        <w:rPr>
          <w:rFonts w:ascii="Times New Roman" w:hAnsi="仿宋" w:eastAsia="仿宋"/>
          <w:b/>
          <w:sz w:val="28"/>
          <w:szCs w:val="28"/>
        </w:rPr>
        <w:t>月</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64F3A"/>
    <w:multiLevelType w:val="singleLevel"/>
    <w:tmpl w:val="94164F3A"/>
    <w:lvl w:ilvl="0" w:tentative="0">
      <w:start w:val="3"/>
      <w:numFmt w:val="decimal"/>
      <w:suff w:val="nothing"/>
      <w:lvlText w:val="%1、"/>
      <w:lvlJc w:val="left"/>
    </w:lvl>
  </w:abstractNum>
  <w:abstractNum w:abstractNumId="1">
    <w:nsid w:val="096E879D"/>
    <w:multiLevelType w:val="singleLevel"/>
    <w:tmpl w:val="096E879D"/>
    <w:lvl w:ilvl="0" w:tentative="0">
      <w:start w:val="9"/>
      <w:numFmt w:val="chineseCounting"/>
      <w:suff w:val="nothing"/>
      <w:lvlText w:val="%1、"/>
      <w:lvlJc w:val="left"/>
      <w:rPr>
        <w:rFonts w:hint="eastAsia"/>
      </w:rPr>
    </w:lvl>
  </w:abstractNum>
  <w:abstractNum w:abstractNumId="2">
    <w:nsid w:val="21AC9432"/>
    <w:multiLevelType w:val="singleLevel"/>
    <w:tmpl w:val="21AC9432"/>
    <w:lvl w:ilvl="0" w:tentative="0">
      <w:start w:val="3"/>
      <w:numFmt w:val="decimal"/>
      <w:suff w:val="nothing"/>
      <w:lvlText w:val="%1、"/>
      <w:lvlJc w:val="left"/>
    </w:lvl>
  </w:abstractNum>
  <w:abstractNum w:abstractNumId="3">
    <w:nsid w:val="2B4B1DFD"/>
    <w:multiLevelType w:val="multilevel"/>
    <w:tmpl w:val="2B4B1DFD"/>
    <w:lvl w:ilvl="0" w:tentative="0">
      <w:start w:val="4"/>
      <w:numFmt w:val="decimal"/>
      <w:suff w:val="nothing"/>
      <w:lvlText w:val="%1　"/>
      <w:lvlJc w:val="left"/>
      <w:pPr>
        <w:ind w:left="0" w:firstLine="0"/>
      </w:pPr>
      <w:rPr>
        <w:rFonts w:hint="default" w:ascii="黑体" w:hAnsi="Times New Roman" w:eastAsia="黑体"/>
        <w:b w:val="0"/>
        <w:i w:val="0"/>
        <w:sz w:val="21"/>
        <w:szCs w:val="21"/>
      </w:rPr>
    </w:lvl>
    <w:lvl w:ilvl="1" w:tentative="0">
      <w:start w:val="1"/>
      <w:numFmt w:val="decimal"/>
      <w:suff w:val="nothing"/>
      <w:lvlText w:val="%1.%2　"/>
      <w:lvlJc w:val="left"/>
      <w:pPr>
        <w:tabs>
          <w:tab w:val="left" w:pos="0"/>
        </w:tabs>
        <w:ind w:left="0" w:firstLine="0"/>
      </w:pPr>
      <w:rPr>
        <w:rFonts w:hint="default"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6"/>
      <w:suff w:val="nothing"/>
      <w:lvlText w:val="%1.%2.%3　"/>
      <w:lvlJc w:val="left"/>
      <w:pPr>
        <w:tabs>
          <w:tab w:val="left" w:pos="0"/>
        </w:tabs>
        <w:ind w:left="0" w:firstLine="0"/>
      </w:pPr>
      <w:rPr>
        <w:rFonts w:hint="default" w:ascii="黑体" w:hAnsi="Times New Roman" w:eastAsia="黑体"/>
        <w:b w:val="0"/>
        <w:i w:val="0"/>
        <w:sz w:val="21"/>
      </w:rPr>
    </w:lvl>
    <w:lvl w:ilvl="3" w:tentative="0">
      <w:start w:val="1"/>
      <w:numFmt w:val="decimal"/>
      <w:suff w:val="nothing"/>
      <w:lvlText w:val="%1.%2.%3.%4　"/>
      <w:lvlJc w:val="left"/>
      <w:pPr>
        <w:tabs>
          <w:tab w:val="left" w:pos="0"/>
        </w:tabs>
        <w:ind w:left="0" w:firstLine="0"/>
      </w:pPr>
      <w:rPr>
        <w:rFonts w:hint="default"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252AF0F"/>
    <w:multiLevelType w:val="multilevel"/>
    <w:tmpl w:val="6252AF0F"/>
    <w:lvl w:ilvl="0" w:tentative="0">
      <w:start w:val="1"/>
      <w:numFmt w:val="decimal"/>
      <w:pStyle w:val="17"/>
      <w:suff w:val="nothing"/>
      <w:lvlText w:val="%1　"/>
      <w:lvlJc w:val="left"/>
      <w:pPr>
        <w:tabs>
          <w:tab w:val="left" w:pos="0"/>
        </w:tabs>
        <w:ind w:left="0" w:firstLine="0"/>
      </w:pPr>
      <w:rPr>
        <w:rFonts w:hint="default" w:ascii="黑体" w:hAnsi="Times New Roman" w:eastAsia="黑体"/>
        <w:b w:val="0"/>
        <w:i w:val="0"/>
        <w:sz w:val="21"/>
        <w:szCs w:val="21"/>
      </w:rPr>
    </w:lvl>
    <w:lvl w:ilvl="1" w:tentative="0">
      <w:start w:val="1"/>
      <w:numFmt w:val="decimal"/>
      <w:pStyle w:val="15"/>
      <w:suff w:val="nothing"/>
      <w:lvlText w:val="%1.%2　"/>
      <w:lvlJc w:val="left"/>
      <w:pPr>
        <w:tabs>
          <w:tab w:val="left" w:pos="0"/>
        </w:tabs>
        <w:ind w:left="0" w:firstLine="0"/>
      </w:pPr>
      <w:rPr>
        <w:rFonts w:hint="default"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w:lvlJc w:val="left"/>
      <w:pPr>
        <w:tabs>
          <w:tab w:val="left" w:pos="0"/>
        </w:tabs>
        <w:ind w:left="0" w:firstLine="0"/>
      </w:pPr>
      <w:rPr>
        <w:rFonts w:hint="default" w:ascii="黑体" w:hAnsi="黑体" w:eastAsia="黑体" w:cs="黑体"/>
        <w:b w:val="0"/>
        <w:i w:val="0"/>
        <w:sz w:val="21"/>
      </w:rPr>
    </w:lvl>
    <w:lvl w:ilvl="3" w:tentative="0">
      <w:start w:val="1"/>
      <w:numFmt w:val="decimal"/>
      <w:suff w:val="nothing"/>
      <w:lvlText w:val="%1.%2.%3.%4　"/>
      <w:lvlJc w:val="left"/>
      <w:pPr>
        <w:tabs>
          <w:tab w:val="left" w:pos="0"/>
        </w:tabs>
        <w:ind w:left="0" w:firstLine="0"/>
      </w:pPr>
      <w:rPr>
        <w:rFonts w:hint="default" w:ascii="黑体" w:hAnsi="Times New Roman" w:eastAsia="黑体"/>
        <w:b w:val="0"/>
        <w:i w:val="0"/>
        <w:sz w:val="21"/>
      </w:rPr>
    </w:lvl>
    <w:lvl w:ilvl="4" w:tentative="0">
      <w:start w:val="1"/>
      <w:numFmt w:val="decimal"/>
      <w:suff w:val="nothing"/>
      <w:lvlText w:val="%1.%2.%3.%4.%5　"/>
      <w:lvlJc w:val="left"/>
      <w:pPr>
        <w:ind w:left="0" w:firstLine="0"/>
      </w:pPr>
      <w:rPr>
        <w:rFonts w:hint="default"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default"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mZjVmMDBhMWE4Mjk4NTgzMDRjOTMxMzQxM2M4YjQifQ=="/>
  </w:docVars>
  <w:rsids>
    <w:rsidRoot w:val="000B67F0"/>
    <w:rsid w:val="0000005D"/>
    <w:rsid w:val="00001A87"/>
    <w:rsid w:val="000040D0"/>
    <w:rsid w:val="00005414"/>
    <w:rsid w:val="0000562B"/>
    <w:rsid w:val="00006B78"/>
    <w:rsid w:val="000071A6"/>
    <w:rsid w:val="0000721A"/>
    <w:rsid w:val="00012121"/>
    <w:rsid w:val="0001753B"/>
    <w:rsid w:val="000210DD"/>
    <w:rsid w:val="000223B0"/>
    <w:rsid w:val="0002293A"/>
    <w:rsid w:val="000308D8"/>
    <w:rsid w:val="00031544"/>
    <w:rsid w:val="00032DC9"/>
    <w:rsid w:val="00033218"/>
    <w:rsid w:val="0003323D"/>
    <w:rsid w:val="0003329D"/>
    <w:rsid w:val="000411CB"/>
    <w:rsid w:val="0004120B"/>
    <w:rsid w:val="00044938"/>
    <w:rsid w:val="00045AEF"/>
    <w:rsid w:val="00045CB9"/>
    <w:rsid w:val="000500FC"/>
    <w:rsid w:val="00050A84"/>
    <w:rsid w:val="00052FA7"/>
    <w:rsid w:val="00055D9D"/>
    <w:rsid w:val="00056D20"/>
    <w:rsid w:val="00057EA5"/>
    <w:rsid w:val="0006044B"/>
    <w:rsid w:val="00060623"/>
    <w:rsid w:val="00060BB1"/>
    <w:rsid w:val="0006174A"/>
    <w:rsid w:val="00063360"/>
    <w:rsid w:val="00072911"/>
    <w:rsid w:val="00072C4D"/>
    <w:rsid w:val="0007379E"/>
    <w:rsid w:val="00073AEB"/>
    <w:rsid w:val="000745DC"/>
    <w:rsid w:val="00076C3F"/>
    <w:rsid w:val="00077914"/>
    <w:rsid w:val="00080D5B"/>
    <w:rsid w:val="00083FEF"/>
    <w:rsid w:val="00086FE3"/>
    <w:rsid w:val="00092DB8"/>
    <w:rsid w:val="00095602"/>
    <w:rsid w:val="00096223"/>
    <w:rsid w:val="000A1E07"/>
    <w:rsid w:val="000A2AD4"/>
    <w:rsid w:val="000A5629"/>
    <w:rsid w:val="000A5C8C"/>
    <w:rsid w:val="000A6F89"/>
    <w:rsid w:val="000A7420"/>
    <w:rsid w:val="000B03C8"/>
    <w:rsid w:val="000B1C90"/>
    <w:rsid w:val="000B1FC0"/>
    <w:rsid w:val="000B2531"/>
    <w:rsid w:val="000B28C1"/>
    <w:rsid w:val="000B4A7F"/>
    <w:rsid w:val="000B52D6"/>
    <w:rsid w:val="000B65E3"/>
    <w:rsid w:val="000B67F0"/>
    <w:rsid w:val="000B72F3"/>
    <w:rsid w:val="000C0D9C"/>
    <w:rsid w:val="000C188C"/>
    <w:rsid w:val="000C576A"/>
    <w:rsid w:val="000C5C97"/>
    <w:rsid w:val="000C5E00"/>
    <w:rsid w:val="000C6DF6"/>
    <w:rsid w:val="000D0577"/>
    <w:rsid w:val="000D2987"/>
    <w:rsid w:val="000D3ADB"/>
    <w:rsid w:val="000D470C"/>
    <w:rsid w:val="000D471A"/>
    <w:rsid w:val="000D5EA8"/>
    <w:rsid w:val="000D6BC2"/>
    <w:rsid w:val="000D717B"/>
    <w:rsid w:val="000E0072"/>
    <w:rsid w:val="000E3902"/>
    <w:rsid w:val="000E5419"/>
    <w:rsid w:val="000E6BF8"/>
    <w:rsid w:val="000E77E7"/>
    <w:rsid w:val="000F0167"/>
    <w:rsid w:val="000F0E29"/>
    <w:rsid w:val="000F0EE0"/>
    <w:rsid w:val="000F28EC"/>
    <w:rsid w:val="000F322B"/>
    <w:rsid w:val="000F6698"/>
    <w:rsid w:val="00100B55"/>
    <w:rsid w:val="00104873"/>
    <w:rsid w:val="00106C55"/>
    <w:rsid w:val="00107F18"/>
    <w:rsid w:val="00110990"/>
    <w:rsid w:val="00110FDE"/>
    <w:rsid w:val="0011250C"/>
    <w:rsid w:val="00115553"/>
    <w:rsid w:val="00117E52"/>
    <w:rsid w:val="0012117B"/>
    <w:rsid w:val="0012294F"/>
    <w:rsid w:val="0013511E"/>
    <w:rsid w:val="00141D2E"/>
    <w:rsid w:val="00142C07"/>
    <w:rsid w:val="001430A5"/>
    <w:rsid w:val="00143B5D"/>
    <w:rsid w:val="001454A6"/>
    <w:rsid w:val="0014630A"/>
    <w:rsid w:val="00147642"/>
    <w:rsid w:val="00147EC0"/>
    <w:rsid w:val="00152E30"/>
    <w:rsid w:val="0015382B"/>
    <w:rsid w:val="00155715"/>
    <w:rsid w:val="001578E0"/>
    <w:rsid w:val="00163D50"/>
    <w:rsid w:val="00172151"/>
    <w:rsid w:val="00172266"/>
    <w:rsid w:val="00173D61"/>
    <w:rsid w:val="00176AEF"/>
    <w:rsid w:val="00177726"/>
    <w:rsid w:val="00177DFA"/>
    <w:rsid w:val="001816D0"/>
    <w:rsid w:val="0018194A"/>
    <w:rsid w:val="00182A15"/>
    <w:rsid w:val="001906BE"/>
    <w:rsid w:val="00193609"/>
    <w:rsid w:val="0019389E"/>
    <w:rsid w:val="001940C1"/>
    <w:rsid w:val="001955EF"/>
    <w:rsid w:val="001A04FB"/>
    <w:rsid w:val="001A1B42"/>
    <w:rsid w:val="001A3810"/>
    <w:rsid w:val="001A3C19"/>
    <w:rsid w:val="001A4D20"/>
    <w:rsid w:val="001B1E1E"/>
    <w:rsid w:val="001B33FD"/>
    <w:rsid w:val="001B3A96"/>
    <w:rsid w:val="001C2F48"/>
    <w:rsid w:val="001C627D"/>
    <w:rsid w:val="001D44CE"/>
    <w:rsid w:val="001D7E9D"/>
    <w:rsid w:val="001E44CB"/>
    <w:rsid w:val="001E4E59"/>
    <w:rsid w:val="001E4F13"/>
    <w:rsid w:val="001E5BB8"/>
    <w:rsid w:val="001E7264"/>
    <w:rsid w:val="001E748C"/>
    <w:rsid w:val="001E77A7"/>
    <w:rsid w:val="001F2820"/>
    <w:rsid w:val="001F2CBD"/>
    <w:rsid w:val="001F32F1"/>
    <w:rsid w:val="001F6CBD"/>
    <w:rsid w:val="00203D68"/>
    <w:rsid w:val="002047DA"/>
    <w:rsid w:val="0020499C"/>
    <w:rsid w:val="0020517C"/>
    <w:rsid w:val="00205AA6"/>
    <w:rsid w:val="00205C0C"/>
    <w:rsid w:val="00206E20"/>
    <w:rsid w:val="00212CE0"/>
    <w:rsid w:val="0021388A"/>
    <w:rsid w:val="00213D26"/>
    <w:rsid w:val="00223320"/>
    <w:rsid w:val="00224115"/>
    <w:rsid w:val="002278A4"/>
    <w:rsid w:val="0023077F"/>
    <w:rsid w:val="0023177F"/>
    <w:rsid w:val="002357AA"/>
    <w:rsid w:val="0024066C"/>
    <w:rsid w:val="0024102B"/>
    <w:rsid w:val="002422DC"/>
    <w:rsid w:val="00242C90"/>
    <w:rsid w:val="00243443"/>
    <w:rsid w:val="002479E6"/>
    <w:rsid w:val="00247D50"/>
    <w:rsid w:val="002533B7"/>
    <w:rsid w:val="00253BD1"/>
    <w:rsid w:val="00253FC7"/>
    <w:rsid w:val="0025487C"/>
    <w:rsid w:val="002560D4"/>
    <w:rsid w:val="00256C72"/>
    <w:rsid w:val="0026318B"/>
    <w:rsid w:val="0026362D"/>
    <w:rsid w:val="00270008"/>
    <w:rsid w:val="002729E6"/>
    <w:rsid w:val="00275B3D"/>
    <w:rsid w:val="00277A36"/>
    <w:rsid w:val="002808AF"/>
    <w:rsid w:val="002812C0"/>
    <w:rsid w:val="0028357F"/>
    <w:rsid w:val="00283CF2"/>
    <w:rsid w:val="00286CF7"/>
    <w:rsid w:val="0029058F"/>
    <w:rsid w:val="002922BC"/>
    <w:rsid w:val="00292DF2"/>
    <w:rsid w:val="00293124"/>
    <w:rsid w:val="00294F39"/>
    <w:rsid w:val="0029614D"/>
    <w:rsid w:val="002971FE"/>
    <w:rsid w:val="002A0F8E"/>
    <w:rsid w:val="002A2A57"/>
    <w:rsid w:val="002A5F31"/>
    <w:rsid w:val="002A686E"/>
    <w:rsid w:val="002A75BE"/>
    <w:rsid w:val="002B442F"/>
    <w:rsid w:val="002B524C"/>
    <w:rsid w:val="002B5626"/>
    <w:rsid w:val="002B62DD"/>
    <w:rsid w:val="002C2397"/>
    <w:rsid w:val="002C2C08"/>
    <w:rsid w:val="002C420E"/>
    <w:rsid w:val="002C4279"/>
    <w:rsid w:val="002C7614"/>
    <w:rsid w:val="002C7B0B"/>
    <w:rsid w:val="002D0F20"/>
    <w:rsid w:val="002D1DC3"/>
    <w:rsid w:val="002D2AE8"/>
    <w:rsid w:val="002D3471"/>
    <w:rsid w:val="002D5BC2"/>
    <w:rsid w:val="002D6FC7"/>
    <w:rsid w:val="002E0636"/>
    <w:rsid w:val="002E34EF"/>
    <w:rsid w:val="002E41E8"/>
    <w:rsid w:val="002E7093"/>
    <w:rsid w:val="002F2563"/>
    <w:rsid w:val="002F2687"/>
    <w:rsid w:val="002F3B71"/>
    <w:rsid w:val="002F49BE"/>
    <w:rsid w:val="002F6B5A"/>
    <w:rsid w:val="002F73C5"/>
    <w:rsid w:val="00300841"/>
    <w:rsid w:val="00302950"/>
    <w:rsid w:val="00303C1B"/>
    <w:rsid w:val="00303FC7"/>
    <w:rsid w:val="00313C01"/>
    <w:rsid w:val="00315D64"/>
    <w:rsid w:val="0031707A"/>
    <w:rsid w:val="003204B2"/>
    <w:rsid w:val="003218D0"/>
    <w:rsid w:val="0032281C"/>
    <w:rsid w:val="003265D9"/>
    <w:rsid w:val="00332833"/>
    <w:rsid w:val="00335066"/>
    <w:rsid w:val="00335363"/>
    <w:rsid w:val="0033551B"/>
    <w:rsid w:val="00335959"/>
    <w:rsid w:val="00343196"/>
    <w:rsid w:val="00343CDF"/>
    <w:rsid w:val="00346893"/>
    <w:rsid w:val="00347507"/>
    <w:rsid w:val="00352C5D"/>
    <w:rsid w:val="0035750A"/>
    <w:rsid w:val="00357601"/>
    <w:rsid w:val="00361E07"/>
    <w:rsid w:val="00363155"/>
    <w:rsid w:val="00363D33"/>
    <w:rsid w:val="00364257"/>
    <w:rsid w:val="00364A96"/>
    <w:rsid w:val="00366512"/>
    <w:rsid w:val="003675E1"/>
    <w:rsid w:val="003713E4"/>
    <w:rsid w:val="003779C7"/>
    <w:rsid w:val="00380D7E"/>
    <w:rsid w:val="00380D99"/>
    <w:rsid w:val="00381C37"/>
    <w:rsid w:val="0038386B"/>
    <w:rsid w:val="00383C24"/>
    <w:rsid w:val="00385315"/>
    <w:rsid w:val="0038563A"/>
    <w:rsid w:val="00385C70"/>
    <w:rsid w:val="00386ABB"/>
    <w:rsid w:val="00386D3D"/>
    <w:rsid w:val="00390B63"/>
    <w:rsid w:val="0039195E"/>
    <w:rsid w:val="0039331E"/>
    <w:rsid w:val="00393FA8"/>
    <w:rsid w:val="00397D4C"/>
    <w:rsid w:val="003A11DF"/>
    <w:rsid w:val="003A1812"/>
    <w:rsid w:val="003A22D4"/>
    <w:rsid w:val="003A2A1A"/>
    <w:rsid w:val="003A4F50"/>
    <w:rsid w:val="003A59AD"/>
    <w:rsid w:val="003A780F"/>
    <w:rsid w:val="003A7835"/>
    <w:rsid w:val="003B5B7D"/>
    <w:rsid w:val="003B6BFB"/>
    <w:rsid w:val="003B6DDD"/>
    <w:rsid w:val="003C0C0E"/>
    <w:rsid w:val="003C1F11"/>
    <w:rsid w:val="003C1FA5"/>
    <w:rsid w:val="003C489E"/>
    <w:rsid w:val="003C49C2"/>
    <w:rsid w:val="003C4F6B"/>
    <w:rsid w:val="003D1A21"/>
    <w:rsid w:val="003D2A6F"/>
    <w:rsid w:val="003D2E23"/>
    <w:rsid w:val="003D4228"/>
    <w:rsid w:val="003D56EC"/>
    <w:rsid w:val="003D7759"/>
    <w:rsid w:val="003E21C6"/>
    <w:rsid w:val="003E2578"/>
    <w:rsid w:val="003E2886"/>
    <w:rsid w:val="003E2C45"/>
    <w:rsid w:val="003E3A62"/>
    <w:rsid w:val="003E55A3"/>
    <w:rsid w:val="003E62EC"/>
    <w:rsid w:val="003E78B8"/>
    <w:rsid w:val="003F0B72"/>
    <w:rsid w:val="003F205D"/>
    <w:rsid w:val="003F243E"/>
    <w:rsid w:val="003F2D86"/>
    <w:rsid w:val="003F3143"/>
    <w:rsid w:val="003F394B"/>
    <w:rsid w:val="0040026D"/>
    <w:rsid w:val="004029A1"/>
    <w:rsid w:val="00405606"/>
    <w:rsid w:val="004058DD"/>
    <w:rsid w:val="00410738"/>
    <w:rsid w:val="00412DA0"/>
    <w:rsid w:val="00414890"/>
    <w:rsid w:val="00414A63"/>
    <w:rsid w:val="00414A8F"/>
    <w:rsid w:val="00416D47"/>
    <w:rsid w:val="00416DC5"/>
    <w:rsid w:val="004171C3"/>
    <w:rsid w:val="00423C28"/>
    <w:rsid w:val="00427ECD"/>
    <w:rsid w:val="004327E0"/>
    <w:rsid w:val="004335C0"/>
    <w:rsid w:val="004343DA"/>
    <w:rsid w:val="00435C80"/>
    <w:rsid w:val="004364AD"/>
    <w:rsid w:val="00436A9E"/>
    <w:rsid w:val="00436ADD"/>
    <w:rsid w:val="00436CFD"/>
    <w:rsid w:val="00437D14"/>
    <w:rsid w:val="00441EE8"/>
    <w:rsid w:val="0044251A"/>
    <w:rsid w:val="00446A0A"/>
    <w:rsid w:val="00446D76"/>
    <w:rsid w:val="00446DBB"/>
    <w:rsid w:val="00450963"/>
    <w:rsid w:val="00450B2A"/>
    <w:rsid w:val="00450F24"/>
    <w:rsid w:val="00452440"/>
    <w:rsid w:val="004540DF"/>
    <w:rsid w:val="00454197"/>
    <w:rsid w:val="00461641"/>
    <w:rsid w:val="0046284F"/>
    <w:rsid w:val="00463AC4"/>
    <w:rsid w:val="00464EBD"/>
    <w:rsid w:val="00465786"/>
    <w:rsid w:val="0046607C"/>
    <w:rsid w:val="00467A57"/>
    <w:rsid w:val="00470D85"/>
    <w:rsid w:val="004725D1"/>
    <w:rsid w:val="00473133"/>
    <w:rsid w:val="0047584E"/>
    <w:rsid w:val="00475974"/>
    <w:rsid w:val="00477700"/>
    <w:rsid w:val="00480E2C"/>
    <w:rsid w:val="00481E9F"/>
    <w:rsid w:val="00483D46"/>
    <w:rsid w:val="004878B4"/>
    <w:rsid w:val="00490F87"/>
    <w:rsid w:val="004926FF"/>
    <w:rsid w:val="00492B46"/>
    <w:rsid w:val="004934E1"/>
    <w:rsid w:val="00493AE5"/>
    <w:rsid w:val="00493CC3"/>
    <w:rsid w:val="00493CDA"/>
    <w:rsid w:val="004A0746"/>
    <w:rsid w:val="004A2516"/>
    <w:rsid w:val="004A4BAB"/>
    <w:rsid w:val="004A585F"/>
    <w:rsid w:val="004A74E2"/>
    <w:rsid w:val="004B4B78"/>
    <w:rsid w:val="004B7467"/>
    <w:rsid w:val="004B7EA8"/>
    <w:rsid w:val="004C0344"/>
    <w:rsid w:val="004C3006"/>
    <w:rsid w:val="004C5241"/>
    <w:rsid w:val="004C7778"/>
    <w:rsid w:val="004D1C5F"/>
    <w:rsid w:val="004D4F6C"/>
    <w:rsid w:val="004E0BCE"/>
    <w:rsid w:val="004E2ACA"/>
    <w:rsid w:val="004E5D40"/>
    <w:rsid w:val="004E6C65"/>
    <w:rsid w:val="004E6DE7"/>
    <w:rsid w:val="004F44AD"/>
    <w:rsid w:val="004F474D"/>
    <w:rsid w:val="00501BC9"/>
    <w:rsid w:val="00503729"/>
    <w:rsid w:val="00504384"/>
    <w:rsid w:val="0050485C"/>
    <w:rsid w:val="00505D91"/>
    <w:rsid w:val="00505EB0"/>
    <w:rsid w:val="00510345"/>
    <w:rsid w:val="00513A30"/>
    <w:rsid w:val="00515529"/>
    <w:rsid w:val="00516539"/>
    <w:rsid w:val="00516AD4"/>
    <w:rsid w:val="00517BB8"/>
    <w:rsid w:val="0052084A"/>
    <w:rsid w:val="00521501"/>
    <w:rsid w:val="00522EC8"/>
    <w:rsid w:val="0052563E"/>
    <w:rsid w:val="005258D2"/>
    <w:rsid w:val="00534925"/>
    <w:rsid w:val="00534FC4"/>
    <w:rsid w:val="00536636"/>
    <w:rsid w:val="00542C8B"/>
    <w:rsid w:val="00544BC5"/>
    <w:rsid w:val="0054546F"/>
    <w:rsid w:val="0054642E"/>
    <w:rsid w:val="00546C87"/>
    <w:rsid w:val="005518FC"/>
    <w:rsid w:val="00553180"/>
    <w:rsid w:val="00555570"/>
    <w:rsid w:val="00555CBA"/>
    <w:rsid w:val="00566AC4"/>
    <w:rsid w:val="005742C3"/>
    <w:rsid w:val="00576E7E"/>
    <w:rsid w:val="00581446"/>
    <w:rsid w:val="005835CF"/>
    <w:rsid w:val="00585EE5"/>
    <w:rsid w:val="00590A53"/>
    <w:rsid w:val="00595500"/>
    <w:rsid w:val="005955E8"/>
    <w:rsid w:val="005963BE"/>
    <w:rsid w:val="005966BB"/>
    <w:rsid w:val="005967AC"/>
    <w:rsid w:val="005A1818"/>
    <w:rsid w:val="005A1A4F"/>
    <w:rsid w:val="005A2222"/>
    <w:rsid w:val="005A3094"/>
    <w:rsid w:val="005A3D75"/>
    <w:rsid w:val="005A4FE5"/>
    <w:rsid w:val="005A5C3F"/>
    <w:rsid w:val="005A7FCA"/>
    <w:rsid w:val="005B11A9"/>
    <w:rsid w:val="005B2950"/>
    <w:rsid w:val="005C0D05"/>
    <w:rsid w:val="005C6D41"/>
    <w:rsid w:val="005D02A4"/>
    <w:rsid w:val="005D31FC"/>
    <w:rsid w:val="005D4362"/>
    <w:rsid w:val="005D5A4D"/>
    <w:rsid w:val="005E0CF8"/>
    <w:rsid w:val="005E1961"/>
    <w:rsid w:val="005E2A91"/>
    <w:rsid w:val="005E3905"/>
    <w:rsid w:val="005E449A"/>
    <w:rsid w:val="005E4E05"/>
    <w:rsid w:val="005E5452"/>
    <w:rsid w:val="005E7C73"/>
    <w:rsid w:val="005E7E72"/>
    <w:rsid w:val="005F1146"/>
    <w:rsid w:val="005F6525"/>
    <w:rsid w:val="005F7647"/>
    <w:rsid w:val="005F7E62"/>
    <w:rsid w:val="00600EF3"/>
    <w:rsid w:val="006019C0"/>
    <w:rsid w:val="00601EC1"/>
    <w:rsid w:val="00601F41"/>
    <w:rsid w:val="006053CB"/>
    <w:rsid w:val="0060554C"/>
    <w:rsid w:val="00605D29"/>
    <w:rsid w:val="00606621"/>
    <w:rsid w:val="00606F54"/>
    <w:rsid w:val="00607E40"/>
    <w:rsid w:val="00611FBE"/>
    <w:rsid w:val="00613C85"/>
    <w:rsid w:val="00614AC8"/>
    <w:rsid w:val="00616535"/>
    <w:rsid w:val="006200E3"/>
    <w:rsid w:val="00623618"/>
    <w:rsid w:val="00624855"/>
    <w:rsid w:val="0062488E"/>
    <w:rsid w:val="006263E1"/>
    <w:rsid w:val="00626934"/>
    <w:rsid w:val="00627475"/>
    <w:rsid w:val="0063798B"/>
    <w:rsid w:val="00637C4A"/>
    <w:rsid w:val="0064172A"/>
    <w:rsid w:val="00641B20"/>
    <w:rsid w:val="00644DD1"/>
    <w:rsid w:val="0064535C"/>
    <w:rsid w:val="00647BFC"/>
    <w:rsid w:val="006536D7"/>
    <w:rsid w:val="006546A3"/>
    <w:rsid w:val="00656119"/>
    <w:rsid w:val="00660433"/>
    <w:rsid w:val="00661013"/>
    <w:rsid w:val="00662DA7"/>
    <w:rsid w:val="00662E22"/>
    <w:rsid w:val="00664695"/>
    <w:rsid w:val="00665CD1"/>
    <w:rsid w:val="00667166"/>
    <w:rsid w:val="00670D09"/>
    <w:rsid w:val="00672626"/>
    <w:rsid w:val="00672F4D"/>
    <w:rsid w:val="0067389F"/>
    <w:rsid w:val="006749E0"/>
    <w:rsid w:val="006749E8"/>
    <w:rsid w:val="00677756"/>
    <w:rsid w:val="00681829"/>
    <w:rsid w:val="00682126"/>
    <w:rsid w:val="006850F4"/>
    <w:rsid w:val="00685C8A"/>
    <w:rsid w:val="0069014D"/>
    <w:rsid w:val="00693C26"/>
    <w:rsid w:val="006A04D4"/>
    <w:rsid w:val="006A32BF"/>
    <w:rsid w:val="006A39F1"/>
    <w:rsid w:val="006A472D"/>
    <w:rsid w:val="006A4B9D"/>
    <w:rsid w:val="006A5155"/>
    <w:rsid w:val="006A607D"/>
    <w:rsid w:val="006A67A3"/>
    <w:rsid w:val="006B07B9"/>
    <w:rsid w:val="006B0FCA"/>
    <w:rsid w:val="006B10CE"/>
    <w:rsid w:val="006B395B"/>
    <w:rsid w:val="006B3EA8"/>
    <w:rsid w:val="006B446C"/>
    <w:rsid w:val="006B4BFC"/>
    <w:rsid w:val="006C4315"/>
    <w:rsid w:val="006C5FCF"/>
    <w:rsid w:val="006C6279"/>
    <w:rsid w:val="006D27EA"/>
    <w:rsid w:val="006D45E2"/>
    <w:rsid w:val="006D59E3"/>
    <w:rsid w:val="006D5BCC"/>
    <w:rsid w:val="006D5DCB"/>
    <w:rsid w:val="006E1B46"/>
    <w:rsid w:val="006E3368"/>
    <w:rsid w:val="006E3AA9"/>
    <w:rsid w:val="006E4CEA"/>
    <w:rsid w:val="006E52E9"/>
    <w:rsid w:val="006E6E1E"/>
    <w:rsid w:val="006F05AB"/>
    <w:rsid w:val="006F2F92"/>
    <w:rsid w:val="006F5454"/>
    <w:rsid w:val="006F7373"/>
    <w:rsid w:val="007010A4"/>
    <w:rsid w:val="00701ED3"/>
    <w:rsid w:val="00703B44"/>
    <w:rsid w:val="00703EF4"/>
    <w:rsid w:val="00706CA0"/>
    <w:rsid w:val="0071139C"/>
    <w:rsid w:val="00713213"/>
    <w:rsid w:val="0071691B"/>
    <w:rsid w:val="00716C35"/>
    <w:rsid w:val="00721360"/>
    <w:rsid w:val="007266F5"/>
    <w:rsid w:val="007278B3"/>
    <w:rsid w:val="00727C34"/>
    <w:rsid w:val="00733371"/>
    <w:rsid w:val="00733E90"/>
    <w:rsid w:val="00735172"/>
    <w:rsid w:val="00735F14"/>
    <w:rsid w:val="00736AFE"/>
    <w:rsid w:val="00737618"/>
    <w:rsid w:val="00737DC2"/>
    <w:rsid w:val="0074056A"/>
    <w:rsid w:val="007418F2"/>
    <w:rsid w:val="00741B3C"/>
    <w:rsid w:val="00742C8A"/>
    <w:rsid w:val="007435CA"/>
    <w:rsid w:val="00751CB9"/>
    <w:rsid w:val="007522DB"/>
    <w:rsid w:val="00752B16"/>
    <w:rsid w:val="007530E9"/>
    <w:rsid w:val="00756C7A"/>
    <w:rsid w:val="00757A00"/>
    <w:rsid w:val="00757B2F"/>
    <w:rsid w:val="00762BF1"/>
    <w:rsid w:val="0076409E"/>
    <w:rsid w:val="00764612"/>
    <w:rsid w:val="0076542F"/>
    <w:rsid w:val="00765CC7"/>
    <w:rsid w:val="00765F0F"/>
    <w:rsid w:val="00771728"/>
    <w:rsid w:val="007723DA"/>
    <w:rsid w:val="007776F7"/>
    <w:rsid w:val="00780382"/>
    <w:rsid w:val="00782E42"/>
    <w:rsid w:val="0078423C"/>
    <w:rsid w:val="00786BF5"/>
    <w:rsid w:val="007903C8"/>
    <w:rsid w:val="007908A7"/>
    <w:rsid w:val="007916C2"/>
    <w:rsid w:val="007937D0"/>
    <w:rsid w:val="00794AB9"/>
    <w:rsid w:val="00795E68"/>
    <w:rsid w:val="007A09FD"/>
    <w:rsid w:val="007A15FF"/>
    <w:rsid w:val="007A25CE"/>
    <w:rsid w:val="007A5E8B"/>
    <w:rsid w:val="007B4B97"/>
    <w:rsid w:val="007B68EC"/>
    <w:rsid w:val="007B701A"/>
    <w:rsid w:val="007B76C9"/>
    <w:rsid w:val="007C16DE"/>
    <w:rsid w:val="007C349A"/>
    <w:rsid w:val="007C4FA2"/>
    <w:rsid w:val="007C744B"/>
    <w:rsid w:val="007C7854"/>
    <w:rsid w:val="007C7E2F"/>
    <w:rsid w:val="007C7F8C"/>
    <w:rsid w:val="007D2D20"/>
    <w:rsid w:val="007D54A6"/>
    <w:rsid w:val="007E00D7"/>
    <w:rsid w:val="007E0587"/>
    <w:rsid w:val="007E0F66"/>
    <w:rsid w:val="007E2004"/>
    <w:rsid w:val="007E24E2"/>
    <w:rsid w:val="007E3935"/>
    <w:rsid w:val="007E6E52"/>
    <w:rsid w:val="007F5634"/>
    <w:rsid w:val="007F67B0"/>
    <w:rsid w:val="007F77ED"/>
    <w:rsid w:val="00803816"/>
    <w:rsid w:val="00804900"/>
    <w:rsid w:val="00804D2D"/>
    <w:rsid w:val="00806418"/>
    <w:rsid w:val="008067B8"/>
    <w:rsid w:val="00807AB0"/>
    <w:rsid w:val="00810EF9"/>
    <w:rsid w:val="00812056"/>
    <w:rsid w:val="00816C68"/>
    <w:rsid w:val="00823FE7"/>
    <w:rsid w:val="00826EC8"/>
    <w:rsid w:val="0083691C"/>
    <w:rsid w:val="00836BC0"/>
    <w:rsid w:val="00837E21"/>
    <w:rsid w:val="00841AA5"/>
    <w:rsid w:val="00846560"/>
    <w:rsid w:val="0084699D"/>
    <w:rsid w:val="00850575"/>
    <w:rsid w:val="008506E9"/>
    <w:rsid w:val="00851F34"/>
    <w:rsid w:val="0086160D"/>
    <w:rsid w:val="00865324"/>
    <w:rsid w:val="008656A2"/>
    <w:rsid w:val="00865A5E"/>
    <w:rsid w:val="00870BEA"/>
    <w:rsid w:val="00871B98"/>
    <w:rsid w:val="008739C2"/>
    <w:rsid w:val="00876C10"/>
    <w:rsid w:val="0088015C"/>
    <w:rsid w:val="008845BC"/>
    <w:rsid w:val="00886EB5"/>
    <w:rsid w:val="00887A23"/>
    <w:rsid w:val="0089031D"/>
    <w:rsid w:val="008918D8"/>
    <w:rsid w:val="008A25B4"/>
    <w:rsid w:val="008A7359"/>
    <w:rsid w:val="008B13CB"/>
    <w:rsid w:val="008B3D32"/>
    <w:rsid w:val="008B4163"/>
    <w:rsid w:val="008B4F4C"/>
    <w:rsid w:val="008B5DBE"/>
    <w:rsid w:val="008B640D"/>
    <w:rsid w:val="008C01B8"/>
    <w:rsid w:val="008C1547"/>
    <w:rsid w:val="008C2BEA"/>
    <w:rsid w:val="008C417F"/>
    <w:rsid w:val="008C5756"/>
    <w:rsid w:val="008D038F"/>
    <w:rsid w:val="008D2F2C"/>
    <w:rsid w:val="008D467D"/>
    <w:rsid w:val="008D7BA5"/>
    <w:rsid w:val="008E0D10"/>
    <w:rsid w:val="008E25C2"/>
    <w:rsid w:val="008E2C37"/>
    <w:rsid w:val="008E391E"/>
    <w:rsid w:val="008E4602"/>
    <w:rsid w:val="008E66D3"/>
    <w:rsid w:val="008F1C33"/>
    <w:rsid w:val="008F21AB"/>
    <w:rsid w:val="008F491B"/>
    <w:rsid w:val="008F7471"/>
    <w:rsid w:val="00900C25"/>
    <w:rsid w:val="00906656"/>
    <w:rsid w:val="00913BB4"/>
    <w:rsid w:val="00916AB1"/>
    <w:rsid w:val="00916B4A"/>
    <w:rsid w:val="00916CAD"/>
    <w:rsid w:val="00923A17"/>
    <w:rsid w:val="00925E63"/>
    <w:rsid w:val="00930826"/>
    <w:rsid w:val="00931196"/>
    <w:rsid w:val="00932CA5"/>
    <w:rsid w:val="00933445"/>
    <w:rsid w:val="0093599A"/>
    <w:rsid w:val="00940FCB"/>
    <w:rsid w:val="00941C82"/>
    <w:rsid w:val="00941DDF"/>
    <w:rsid w:val="0094341F"/>
    <w:rsid w:val="009437B3"/>
    <w:rsid w:val="00943CB4"/>
    <w:rsid w:val="009443FB"/>
    <w:rsid w:val="00945645"/>
    <w:rsid w:val="00945C95"/>
    <w:rsid w:val="00950300"/>
    <w:rsid w:val="0095161D"/>
    <w:rsid w:val="00951EC8"/>
    <w:rsid w:val="00953879"/>
    <w:rsid w:val="0095480E"/>
    <w:rsid w:val="00956D31"/>
    <w:rsid w:val="00960A2F"/>
    <w:rsid w:val="0096254F"/>
    <w:rsid w:val="009669D2"/>
    <w:rsid w:val="00971D2D"/>
    <w:rsid w:val="00974DBD"/>
    <w:rsid w:val="00975210"/>
    <w:rsid w:val="0097636B"/>
    <w:rsid w:val="00980AEB"/>
    <w:rsid w:val="00982FEC"/>
    <w:rsid w:val="00984F93"/>
    <w:rsid w:val="00985E9A"/>
    <w:rsid w:val="00986360"/>
    <w:rsid w:val="009865D9"/>
    <w:rsid w:val="00986C25"/>
    <w:rsid w:val="00990EAE"/>
    <w:rsid w:val="009913CC"/>
    <w:rsid w:val="00991951"/>
    <w:rsid w:val="00992228"/>
    <w:rsid w:val="009966D8"/>
    <w:rsid w:val="00997582"/>
    <w:rsid w:val="009A5703"/>
    <w:rsid w:val="009A7A10"/>
    <w:rsid w:val="009B06B7"/>
    <w:rsid w:val="009B0A47"/>
    <w:rsid w:val="009B2125"/>
    <w:rsid w:val="009B2365"/>
    <w:rsid w:val="009B2369"/>
    <w:rsid w:val="009B3085"/>
    <w:rsid w:val="009B39DE"/>
    <w:rsid w:val="009B6940"/>
    <w:rsid w:val="009C1748"/>
    <w:rsid w:val="009C6697"/>
    <w:rsid w:val="009C7A7C"/>
    <w:rsid w:val="009D00A8"/>
    <w:rsid w:val="009D08FE"/>
    <w:rsid w:val="009D1BB1"/>
    <w:rsid w:val="009D2101"/>
    <w:rsid w:val="009D26FE"/>
    <w:rsid w:val="009D2F3E"/>
    <w:rsid w:val="009D312F"/>
    <w:rsid w:val="009D3F95"/>
    <w:rsid w:val="009E0F30"/>
    <w:rsid w:val="009E5395"/>
    <w:rsid w:val="009F067A"/>
    <w:rsid w:val="009F1949"/>
    <w:rsid w:val="009F5E53"/>
    <w:rsid w:val="009F7104"/>
    <w:rsid w:val="009F7D3A"/>
    <w:rsid w:val="00A00522"/>
    <w:rsid w:val="00A04957"/>
    <w:rsid w:val="00A04BDF"/>
    <w:rsid w:val="00A06BA6"/>
    <w:rsid w:val="00A06E89"/>
    <w:rsid w:val="00A11059"/>
    <w:rsid w:val="00A1391D"/>
    <w:rsid w:val="00A1569B"/>
    <w:rsid w:val="00A15926"/>
    <w:rsid w:val="00A1759A"/>
    <w:rsid w:val="00A219E6"/>
    <w:rsid w:val="00A21E48"/>
    <w:rsid w:val="00A24AE7"/>
    <w:rsid w:val="00A32C60"/>
    <w:rsid w:val="00A34D08"/>
    <w:rsid w:val="00A40B80"/>
    <w:rsid w:val="00A42B82"/>
    <w:rsid w:val="00A43687"/>
    <w:rsid w:val="00A4623D"/>
    <w:rsid w:val="00A50409"/>
    <w:rsid w:val="00A506C6"/>
    <w:rsid w:val="00A516C1"/>
    <w:rsid w:val="00A5194B"/>
    <w:rsid w:val="00A53592"/>
    <w:rsid w:val="00A53716"/>
    <w:rsid w:val="00A5546A"/>
    <w:rsid w:val="00A564F9"/>
    <w:rsid w:val="00A57B70"/>
    <w:rsid w:val="00A61C3B"/>
    <w:rsid w:val="00A62FDC"/>
    <w:rsid w:val="00A64A4C"/>
    <w:rsid w:val="00A7018C"/>
    <w:rsid w:val="00A71190"/>
    <w:rsid w:val="00A73917"/>
    <w:rsid w:val="00A7449B"/>
    <w:rsid w:val="00A77BC2"/>
    <w:rsid w:val="00A81971"/>
    <w:rsid w:val="00A81E76"/>
    <w:rsid w:val="00A81F1E"/>
    <w:rsid w:val="00A8348A"/>
    <w:rsid w:val="00A8402C"/>
    <w:rsid w:val="00A85C2F"/>
    <w:rsid w:val="00A87328"/>
    <w:rsid w:val="00A90234"/>
    <w:rsid w:val="00A9358D"/>
    <w:rsid w:val="00A95BCD"/>
    <w:rsid w:val="00A96DC3"/>
    <w:rsid w:val="00A97431"/>
    <w:rsid w:val="00AA53FD"/>
    <w:rsid w:val="00AA607F"/>
    <w:rsid w:val="00AA680C"/>
    <w:rsid w:val="00AB2F16"/>
    <w:rsid w:val="00AB5CE4"/>
    <w:rsid w:val="00AC0E15"/>
    <w:rsid w:val="00AC3677"/>
    <w:rsid w:val="00AC5F83"/>
    <w:rsid w:val="00AC643D"/>
    <w:rsid w:val="00AC6E59"/>
    <w:rsid w:val="00AC794A"/>
    <w:rsid w:val="00AD0B8B"/>
    <w:rsid w:val="00AD25D6"/>
    <w:rsid w:val="00AD2616"/>
    <w:rsid w:val="00AD4C61"/>
    <w:rsid w:val="00AD6048"/>
    <w:rsid w:val="00AD6C99"/>
    <w:rsid w:val="00AD7BE4"/>
    <w:rsid w:val="00AE0B38"/>
    <w:rsid w:val="00AE150A"/>
    <w:rsid w:val="00AE20FD"/>
    <w:rsid w:val="00AE6650"/>
    <w:rsid w:val="00AE6AEA"/>
    <w:rsid w:val="00AE7B7D"/>
    <w:rsid w:val="00AE7EA8"/>
    <w:rsid w:val="00AF14DA"/>
    <w:rsid w:val="00AF42F4"/>
    <w:rsid w:val="00AF5ADF"/>
    <w:rsid w:val="00AF77CD"/>
    <w:rsid w:val="00AF7E7C"/>
    <w:rsid w:val="00B003CE"/>
    <w:rsid w:val="00B00D3E"/>
    <w:rsid w:val="00B01ADD"/>
    <w:rsid w:val="00B02FE9"/>
    <w:rsid w:val="00B0348E"/>
    <w:rsid w:val="00B03DBF"/>
    <w:rsid w:val="00B076E3"/>
    <w:rsid w:val="00B07C24"/>
    <w:rsid w:val="00B10FA2"/>
    <w:rsid w:val="00B1141B"/>
    <w:rsid w:val="00B1235B"/>
    <w:rsid w:val="00B1411F"/>
    <w:rsid w:val="00B148C8"/>
    <w:rsid w:val="00B1701B"/>
    <w:rsid w:val="00B20323"/>
    <w:rsid w:val="00B2061D"/>
    <w:rsid w:val="00B220DB"/>
    <w:rsid w:val="00B226A3"/>
    <w:rsid w:val="00B22756"/>
    <w:rsid w:val="00B24D49"/>
    <w:rsid w:val="00B2748B"/>
    <w:rsid w:val="00B27F6D"/>
    <w:rsid w:val="00B3050D"/>
    <w:rsid w:val="00B30941"/>
    <w:rsid w:val="00B33722"/>
    <w:rsid w:val="00B33D6E"/>
    <w:rsid w:val="00B34851"/>
    <w:rsid w:val="00B36AB9"/>
    <w:rsid w:val="00B37DAC"/>
    <w:rsid w:val="00B37F3D"/>
    <w:rsid w:val="00B41D8A"/>
    <w:rsid w:val="00B42709"/>
    <w:rsid w:val="00B440A8"/>
    <w:rsid w:val="00B454F7"/>
    <w:rsid w:val="00B5099F"/>
    <w:rsid w:val="00B50A34"/>
    <w:rsid w:val="00B53906"/>
    <w:rsid w:val="00B55B93"/>
    <w:rsid w:val="00B57872"/>
    <w:rsid w:val="00B6004B"/>
    <w:rsid w:val="00B6066D"/>
    <w:rsid w:val="00B62222"/>
    <w:rsid w:val="00B64CDF"/>
    <w:rsid w:val="00B66B14"/>
    <w:rsid w:val="00B7198A"/>
    <w:rsid w:val="00B71DB4"/>
    <w:rsid w:val="00B7320B"/>
    <w:rsid w:val="00B74C21"/>
    <w:rsid w:val="00B75DD6"/>
    <w:rsid w:val="00B75E50"/>
    <w:rsid w:val="00B7671E"/>
    <w:rsid w:val="00B77DB2"/>
    <w:rsid w:val="00B800AF"/>
    <w:rsid w:val="00B805D0"/>
    <w:rsid w:val="00B80A46"/>
    <w:rsid w:val="00B86636"/>
    <w:rsid w:val="00B92154"/>
    <w:rsid w:val="00B929E8"/>
    <w:rsid w:val="00B92E61"/>
    <w:rsid w:val="00B975B9"/>
    <w:rsid w:val="00B97699"/>
    <w:rsid w:val="00B97A08"/>
    <w:rsid w:val="00BA11E3"/>
    <w:rsid w:val="00BA6E03"/>
    <w:rsid w:val="00BA710D"/>
    <w:rsid w:val="00BA7A55"/>
    <w:rsid w:val="00BB229D"/>
    <w:rsid w:val="00BB4AF3"/>
    <w:rsid w:val="00BB5754"/>
    <w:rsid w:val="00BB6679"/>
    <w:rsid w:val="00BC0393"/>
    <w:rsid w:val="00BC1FDD"/>
    <w:rsid w:val="00BC2BF2"/>
    <w:rsid w:val="00BC328B"/>
    <w:rsid w:val="00BC3935"/>
    <w:rsid w:val="00BC418E"/>
    <w:rsid w:val="00BC454F"/>
    <w:rsid w:val="00BC4B89"/>
    <w:rsid w:val="00BC570E"/>
    <w:rsid w:val="00BC57AF"/>
    <w:rsid w:val="00BD0EA1"/>
    <w:rsid w:val="00BD4CBF"/>
    <w:rsid w:val="00BD783F"/>
    <w:rsid w:val="00BE29CD"/>
    <w:rsid w:val="00BE3CA9"/>
    <w:rsid w:val="00BE4257"/>
    <w:rsid w:val="00BE5453"/>
    <w:rsid w:val="00BE62D4"/>
    <w:rsid w:val="00BE7070"/>
    <w:rsid w:val="00BF01B8"/>
    <w:rsid w:val="00BF24A2"/>
    <w:rsid w:val="00BF2699"/>
    <w:rsid w:val="00BF7F58"/>
    <w:rsid w:val="00C00B1E"/>
    <w:rsid w:val="00C016A5"/>
    <w:rsid w:val="00C021DD"/>
    <w:rsid w:val="00C033AA"/>
    <w:rsid w:val="00C078C6"/>
    <w:rsid w:val="00C07C80"/>
    <w:rsid w:val="00C10F4F"/>
    <w:rsid w:val="00C12B25"/>
    <w:rsid w:val="00C134F3"/>
    <w:rsid w:val="00C144B6"/>
    <w:rsid w:val="00C14636"/>
    <w:rsid w:val="00C201F4"/>
    <w:rsid w:val="00C206A7"/>
    <w:rsid w:val="00C21AD5"/>
    <w:rsid w:val="00C21D09"/>
    <w:rsid w:val="00C23D50"/>
    <w:rsid w:val="00C244FD"/>
    <w:rsid w:val="00C24AB5"/>
    <w:rsid w:val="00C255D6"/>
    <w:rsid w:val="00C25A4A"/>
    <w:rsid w:val="00C261BB"/>
    <w:rsid w:val="00C268F5"/>
    <w:rsid w:val="00C2696A"/>
    <w:rsid w:val="00C2760F"/>
    <w:rsid w:val="00C32C3F"/>
    <w:rsid w:val="00C343CA"/>
    <w:rsid w:val="00C357CC"/>
    <w:rsid w:val="00C35978"/>
    <w:rsid w:val="00C35FD5"/>
    <w:rsid w:val="00C3750A"/>
    <w:rsid w:val="00C40945"/>
    <w:rsid w:val="00C409BE"/>
    <w:rsid w:val="00C43471"/>
    <w:rsid w:val="00C4420B"/>
    <w:rsid w:val="00C447DC"/>
    <w:rsid w:val="00C457A8"/>
    <w:rsid w:val="00C458ED"/>
    <w:rsid w:val="00C46139"/>
    <w:rsid w:val="00C512FD"/>
    <w:rsid w:val="00C514A4"/>
    <w:rsid w:val="00C565A2"/>
    <w:rsid w:val="00C56F2D"/>
    <w:rsid w:val="00C5770F"/>
    <w:rsid w:val="00C60DAC"/>
    <w:rsid w:val="00C65BC4"/>
    <w:rsid w:val="00C72460"/>
    <w:rsid w:val="00C72585"/>
    <w:rsid w:val="00C74094"/>
    <w:rsid w:val="00C77A74"/>
    <w:rsid w:val="00C77B7B"/>
    <w:rsid w:val="00C81F3D"/>
    <w:rsid w:val="00C87492"/>
    <w:rsid w:val="00C92499"/>
    <w:rsid w:val="00C94A2D"/>
    <w:rsid w:val="00C958AC"/>
    <w:rsid w:val="00C96167"/>
    <w:rsid w:val="00C979E8"/>
    <w:rsid w:val="00C97C99"/>
    <w:rsid w:val="00CA04CF"/>
    <w:rsid w:val="00CA07FA"/>
    <w:rsid w:val="00CA2BFA"/>
    <w:rsid w:val="00CA35F5"/>
    <w:rsid w:val="00CB0ADD"/>
    <w:rsid w:val="00CB2359"/>
    <w:rsid w:val="00CB5684"/>
    <w:rsid w:val="00CB6600"/>
    <w:rsid w:val="00CB72BC"/>
    <w:rsid w:val="00CC1B74"/>
    <w:rsid w:val="00CC5256"/>
    <w:rsid w:val="00CC64A1"/>
    <w:rsid w:val="00CC6D23"/>
    <w:rsid w:val="00CD154E"/>
    <w:rsid w:val="00CD1CF3"/>
    <w:rsid w:val="00CD2C42"/>
    <w:rsid w:val="00CD6EF0"/>
    <w:rsid w:val="00CD70D6"/>
    <w:rsid w:val="00CE19E0"/>
    <w:rsid w:val="00CE502A"/>
    <w:rsid w:val="00CE751F"/>
    <w:rsid w:val="00CE76E4"/>
    <w:rsid w:val="00CF446A"/>
    <w:rsid w:val="00CF72BC"/>
    <w:rsid w:val="00D00C19"/>
    <w:rsid w:val="00D024B3"/>
    <w:rsid w:val="00D02B5F"/>
    <w:rsid w:val="00D0402D"/>
    <w:rsid w:val="00D0614B"/>
    <w:rsid w:val="00D07071"/>
    <w:rsid w:val="00D10D7A"/>
    <w:rsid w:val="00D1435F"/>
    <w:rsid w:val="00D22BBC"/>
    <w:rsid w:val="00D23BFA"/>
    <w:rsid w:val="00D2558C"/>
    <w:rsid w:val="00D34EC9"/>
    <w:rsid w:val="00D34F65"/>
    <w:rsid w:val="00D43E4E"/>
    <w:rsid w:val="00D45339"/>
    <w:rsid w:val="00D46CDF"/>
    <w:rsid w:val="00D47973"/>
    <w:rsid w:val="00D47BBD"/>
    <w:rsid w:val="00D5015A"/>
    <w:rsid w:val="00D51A0D"/>
    <w:rsid w:val="00D52494"/>
    <w:rsid w:val="00D557CE"/>
    <w:rsid w:val="00D55DD3"/>
    <w:rsid w:val="00D5642F"/>
    <w:rsid w:val="00D56C42"/>
    <w:rsid w:val="00D621E0"/>
    <w:rsid w:val="00D642D8"/>
    <w:rsid w:val="00D67814"/>
    <w:rsid w:val="00D67CFF"/>
    <w:rsid w:val="00D70520"/>
    <w:rsid w:val="00D71A14"/>
    <w:rsid w:val="00D71ED4"/>
    <w:rsid w:val="00D7202D"/>
    <w:rsid w:val="00D82762"/>
    <w:rsid w:val="00D831D6"/>
    <w:rsid w:val="00D91B2A"/>
    <w:rsid w:val="00D91BD0"/>
    <w:rsid w:val="00D92AD9"/>
    <w:rsid w:val="00D92F36"/>
    <w:rsid w:val="00D93A87"/>
    <w:rsid w:val="00D94003"/>
    <w:rsid w:val="00D96660"/>
    <w:rsid w:val="00D96B88"/>
    <w:rsid w:val="00D9706A"/>
    <w:rsid w:val="00D97B66"/>
    <w:rsid w:val="00DA0591"/>
    <w:rsid w:val="00DA095A"/>
    <w:rsid w:val="00DA2460"/>
    <w:rsid w:val="00DA35B4"/>
    <w:rsid w:val="00DA43E2"/>
    <w:rsid w:val="00DA6616"/>
    <w:rsid w:val="00DA6BC8"/>
    <w:rsid w:val="00DB1A4B"/>
    <w:rsid w:val="00DB27C1"/>
    <w:rsid w:val="00DB3C9D"/>
    <w:rsid w:val="00DB49C3"/>
    <w:rsid w:val="00DB541C"/>
    <w:rsid w:val="00DB651C"/>
    <w:rsid w:val="00DB718D"/>
    <w:rsid w:val="00DC05EB"/>
    <w:rsid w:val="00DC138B"/>
    <w:rsid w:val="00DC74A6"/>
    <w:rsid w:val="00DC7F5E"/>
    <w:rsid w:val="00DD1F33"/>
    <w:rsid w:val="00DD3661"/>
    <w:rsid w:val="00DD43A8"/>
    <w:rsid w:val="00DD64BF"/>
    <w:rsid w:val="00DD6C08"/>
    <w:rsid w:val="00DE183E"/>
    <w:rsid w:val="00DE1BFD"/>
    <w:rsid w:val="00DE2D05"/>
    <w:rsid w:val="00DE55EE"/>
    <w:rsid w:val="00DE6FB8"/>
    <w:rsid w:val="00DF13AF"/>
    <w:rsid w:val="00DF2E8F"/>
    <w:rsid w:val="00DF6BED"/>
    <w:rsid w:val="00DF7A56"/>
    <w:rsid w:val="00E0036A"/>
    <w:rsid w:val="00E02E57"/>
    <w:rsid w:val="00E02E5D"/>
    <w:rsid w:val="00E04343"/>
    <w:rsid w:val="00E05F2A"/>
    <w:rsid w:val="00E06A58"/>
    <w:rsid w:val="00E07B67"/>
    <w:rsid w:val="00E11263"/>
    <w:rsid w:val="00E12BB6"/>
    <w:rsid w:val="00E1632D"/>
    <w:rsid w:val="00E168D3"/>
    <w:rsid w:val="00E20247"/>
    <w:rsid w:val="00E20D70"/>
    <w:rsid w:val="00E21A27"/>
    <w:rsid w:val="00E23718"/>
    <w:rsid w:val="00E23962"/>
    <w:rsid w:val="00E270B8"/>
    <w:rsid w:val="00E3060E"/>
    <w:rsid w:val="00E31165"/>
    <w:rsid w:val="00E34E26"/>
    <w:rsid w:val="00E352D3"/>
    <w:rsid w:val="00E36EE7"/>
    <w:rsid w:val="00E376D3"/>
    <w:rsid w:val="00E438B0"/>
    <w:rsid w:val="00E45EA5"/>
    <w:rsid w:val="00E517E2"/>
    <w:rsid w:val="00E51DE0"/>
    <w:rsid w:val="00E55C3D"/>
    <w:rsid w:val="00E60DAB"/>
    <w:rsid w:val="00E63382"/>
    <w:rsid w:val="00E64092"/>
    <w:rsid w:val="00E66174"/>
    <w:rsid w:val="00E7003A"/>
    <w:rsid w:val="00E70AE6"/>
    <w:rsid w:val="00E70BC3"/>
    <w:rsid w:val="00E70FC6"/>
    <w:rsid w:val="00E725DF"/>
    <w:rsid w:val="00E73E6C"/>
    <w:rsid w:val="00E844CF"/>
    <w:rsid w:val="00E84AB8"/>
    <w:rsid w:val="00E8530C"/>
    <w:rsid w:val="00E931BD"/>
    <w:rsid w:val="00E9466F"/>
    <w:rsid w:val="00E9519E"/>
    <w:rsid w:val="00EA0CCE"/>
    <w:rsid w:val="00EA1E39"/>
    <w:rsid w:val="00EA28CE"/>
    <w:rsid w:val="00EA3114"/>
    <w:rsid w:val="00EA41AA"/>
    <w:rsid w:val="00EA4A8F"/>
    <w:rsid w:val="00EA4BD0"/>
    <w:rsid w:val="00EA7925"/>
    <w:rsid w:val="00EB027B"/>
    <w:rsid w:val="00EB1234"/>
    <w:rsid w:val="00EB33B0"/>
    <w:rsid w:val="00EC4F1B"/>
    <w:rsid w:val="00ED028F"/>
    <w:rsid w:val="00ED0334"/>
    <w:rsid w:val="00ED0CB8"/>
    <w:rsid w:val="00ED72E9"/>
    <w:rsid w:val="00ED72EC"/>
    <w:rsid w:val="00EE43E6"/>
    <w:rsid w:val="00EE675D"/>
    <w:rsid w:val="00EF0F27"/>
    <w:rsid w:val="00EF4A6F"/>
    <w:rsid w:val="00EF6D41"/>
    <w:rsid w:val="00F03428"/>
    <w:rsid w:val="00F037D5"/>
    <w:rsid w:val="00F03862"/>
    <w:rsid w:val="00F0564B"/>
    <w:rsid w:val="00F11829"/>
    <w:rsid w:val="00F164A9"/>
    <w:rsid w:val="00F17AAA"/>
    <w:rsid w:val="00F2085B"/>
    <w:rsid w:val="00F21949"/>
    <w:rsid w:val="00F24987"/>
    <w:rsid w:val="00F278C3"/>
    <w:rsid w:val="00F3745B"/>
    <w:rsid w:val="00F37D5E"/>
    <w:rsid w:val="00F37F6C"/>
    <w:rsid w:val="00F40CC9"/>
    <w:rsid w:val="00F44054"/>
    <w:rsid w:val="00F443BF"/>
    <w:rsid w:val="00F463EE"/>
    <w:rsid w:val="00F50173"/>
    <w:rsid w:val="00F56C67"/>
    <w:rsid w:val="00F61E67"/>
    <w:rsid w:val="00F6457E"/>
    <w:rsid w:val="00F646B2"/>
    <w:rsid w:val="00F656AA"/>
    <w:rsid w:val="00F657DF"/>
    <w:rsid w:val="00F65909"/>
    <w:rsid w:val="00F67775"/>
    <w:rsid w:val="00F7191F"/>
    <w:rsid w:val="00F721BA"/>
    <w:rsid w:val="00F72A90"/>
    <w:rsid w:val="00F73EE8"/>
    <w:rsid w:val="00F77E1E"/>
    <w:rsid w:val="00F80A65"/>
    <w:rsid w:val="00F825D8"/>
    <w:rsid w:val="00F82B9A"/>
    <w:rsid w:val="00F907B6"/>
    <w:rsid w:val="00F9133E"/>
    <w:rsid w:val="00F9134E"/>
    <w:rsid w:val="00F93C45"/>
    <w:rsid w:val="00F94F7E"/>
    <w:rsid w:val="00F96D96"/>
    <w:rsid w:val="00F974CF"/>
    <w:rsid w:val="00FA08C1"/>
    <w:rsid w:val="00FA0CAE"/>
    <w:rsid w:val="00FA2417"/>
    <w:rsid w:val="00FA3330"/>
    <w:rsid w:val="00FA34FB"/>
    <w:rsid w:val="00FA44F3"/>
    <w:rsid w:val="00FB0D3A"/>
    <w:rsid w:val="00FB153F"/>
    <w:rsid w:val="00FB1768"/>
    <w:rsid w:val="00FB1AF0"/>
    <w:rsid w:val="00FB2487"/>
    <w:rsid w:val="00FB29C4"/>
    <w:rsid w:val="00FB7ED5"/>
    <w:rsid w:val="00FC1F23"/>
    <w:rsid w:val="00FC3A25"/>
    <w:rsid w:val="00FC3FF8"/>
    <w:rsid w:val="00FC7199"/>
    <w:rsid w:val="00FD3336"/>
    <w:rsid w:val="00FD6C5D"/>
    <w:rsid w:val="00FD732A"/>
    <w:rsid w:val="00FD77C0"/>
    <w:rsid w:val="00FE336E"/>
    <w:rsid w:val="00FE3C91"/>
    <w:rsid w:val="00FE48B5"/>
    <w:rsid w:val="00FE5DA4"/>
    <w:rsid w:val="00FE7396"/>
    <w:rsid w:val="00FF0B66"/>
    <w:rsid w:val="00FF390B"/>
    <w:rsid w:val="00FF6BA2"/>
    <w:rsid w:val="05812B41"/>
    <w:rsid w:val="09E14DD8"/>
    <w:rsid w:val="0A763ADF"/>
    <w:rsid w:val="0A796041"/>
    <w:rsid w:val="0E864717"/>
    <w:rsid w:val="101D1B7D"/>
    <w:rsid w:val="114523E5"/>
    <w:rsid w:val="12852B41"/>
    <w:rsid w:val="14305E5E"/>
    <w:rsid w:val="1494129E"/>
    <w:rsid w:val="15567B46"/>
    <w:rsid w:val="15C40F54"/>
    <w:rsid w:val="18D8352E"/>
    <w:rsid w:val="193D3387"/>
    <w:rsid w:val="1A1E7BA1"/>
    <w:rsid w:val="1ABD5E94"/>
    <w:rsid w:val="1B9773B7"/>
    <w:rsid w:val="1BC53330"/>
    <w:rsid w:val="1D3E7CC7"/>
    <w:rsid w:val="1EB3600A"/>
    <w:rsid w:val="1F0C62DC"/>
    <w:rsid w:val="1F6B4067"/>
    <w:rsid w:val="204C3C05"/>
    <w:rsid w:val="2139565A"/>
    <w:rsid w:val="234359E1"/>
    <w:rsid w:val="251C2AE9"/>
    <w:rsid w:val="272C16AC"/>
    <w:rsid w:val="27C13545"/>
    <w:rsid w:val="2E9F0DC9"/>
    <w:rsid w:val="2F391D83"/>
    <w:rsid w:val="339A2E9C"/>
    <w:rsid w:val="33FB6DEF"/>
    <w:rsid w:val="35BD4DE1"/>
    <w:rsid w:val="370A0339"/>
    <w:rsid w:val="381046B6"/>
    <w:rsid w:val="3A863DDB"/>
    <w:rsid w:val="3AD6435E"/>
    <w:rsid w:val="3C73398B"/>
    <w:rsid w:val="3E8F7AA2"/>
    <w:rsid w:val="3F9D125E"/>
    <w:rsid w:val="401E4BD8"/>
    <w:rsid w:val="40357225"/>
    <w:rsid w:val="42BB1199"/>
    <w:rsid w:val="43C44E00"/>
    <w:rsid w:val="44D5342A"/>
    <w:rsid w:val="45966DFC"/>
    <w:rsid w:val="469366BA"/>
    <w:rsid w:val="482F53D6"/>
    <w:rsid w:val="48EC789E"/>
    <w:rsid w:val="4A4B7938"/>
    <w:rsid w:val="4A961B33"/>
    <w:rsid w:val="4D64659D"/>
    <w:rsid w:val="50285825"/>
    <w:rsid w:val="505620F6"/>
    <w:rsid w:val="5119769F"/>
    <w:rsid w:val="520A3DA5"/>
    <w:rsid w:val="53D915C4"/>
    <w:rsid w:val="542B7877"/>
    <w:rsid w:val="544748A8"/>
    <w:rsid w:val="5993575C"/>
    <w:rsid w:val="6120239E"/>
    <w:rsid w:val="64A530D4"/>
    <w:rsid w:val="658E28EE"/>
    <w:rsid w:val="6804655B"/>
    <w:rsid w:val="6B2B6ED9"/>
    <w:rsid w:val="6B7D650E"/>
    <w:rsid w:val="6C094140"/>
    <w:rsid w:val="6D5749E0"/>
    <w:rsid w:val="6E8675B7"/>
    <w:rsid w:val="6F5C4ECE"/>
    <w:rsid w:val="700D56FF"/>
    <w:rsid w:val="72981A79"/>
    <w:rsid w:val="74B82BA7"/>
    <w:rsid w:val="761818A3"/>
    <w:rsid w:val="784B547B"/>
    <w:rsid w:val="787E6100"/>
    <w:rsid w:val="795A247F"/>
    <w:rsid w:val="7A9043C4"/>
    <w:rsid w:val="7B7500DE"/>
    <w:rsid w:val="7B7D3550"/>
    <w:rsid w:val="7E8B0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0"/>
    <w:pPr>
      <w:spacing w:after="80"/>
      <w:jc w:val="both"/>
    </w:pPr>
    <w:rPr>
      <w:kern w:val="0"/>
      <w:sz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字符"/>
    <w:basedOn w:val="8"/>
    <w:link w:val="4"/>
    <w:autoRedefine/>
    <w:qFormat/>
    <w:uiPriority w:val="99"/>
    <w:rPr>
      <w:sz w:val="18"/>
      <w:szCs w:val="18"/>
    </w:rPr>
  </w:style>
  <w:style w:type="character" w:customStyle="1" w:styleId="10">
    <w:name w:val="页脚 字符"/>
    <w:basedOn w:val="8"/>
    <w:link w:val="3"/>
    <w:autoRedefine/>
    <w:qFormat/>
    <w:uiPriority w:val="99"/>
    <w:rPr>
      <w:sz w:val="18"/>
      <w:szCs w:val="18"/>
    </w:rPr>
  </w:style>
  <w:style w:type="paragraph" w:customStyle="1" w:styleId="11">
    <w:name w:val="段"/>
    <w:link w:val="12"/>
    <w:autoRedefine/>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0"/>
      <w:sz w:val="21"/>
      <w:szCs w:val="20"/>
      <w:lang w:val="en-US" w:eastAsia="zh-CN" w:bidi="ar-SA"/>
    </w:rPr>
  </w:style>
  <w:style w:type="character" w:customStyle="1" w:styleId="12">
    <w:name w:val="段 Char"/>
    <w:link w:val="11"/>
    <w:autoRedefine/>
    <w:qFormat/>
    <w:uiPriority w:val="0"/>
    <w:rPr>
      <w:rFonts w:ascii="宋体" w:hAnsi="Calibri" w:eastAsia="宋体" w:cs="Times New Roman"/>
      <w:kern w:val="0"/>
      <w:szCs w:val="20"/>
    </w:rPr>
  </w:style>
  <w:style w:type="paragraph" w:customStyle="1" w:styleId="1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4">
    <w:name w:val="List Paragraph"/>
    <w:basedOn w:val="1"/>
    <w:qFormat/>
    <w:uiPriority w:val="34"/>
    <w:pPr>
      <w:ind w:firstLine="420" w:firstLineChars="200"/>
    </w:pPr>
  </w:style>
  <w:style w:type="paragraph" w:customStyle="1" w:styleId="15">
    <w:name w:val="一级条标题"/>
    <w:next w:val="11"/>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6">
    <w:name w:val="二级条标题"/>
    <w:basedOn w:val="15"/>
    <w:next w:val="11"/>
    <w:autoRedefine/>
    <w:qFormat/>
    <w:uiPriority w:val="0"/>
    <w:pPr>
      <w:numPr>
        <w:ilvl w:val="2"/>
        <w:numId w:val="2"/>
      </w:numPr>
      <w:spacing w:before="50" w:after="50"/>
      <w:outlineLvl w:val="3"/>
    </w:pPr>
  </w:style>
  <w:style w:type="paragraph" w:customStyle="1" w:styleId="17">
    <w:name w:val="章标题"/>
    <w:next w:val="11"/>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1" Type="http://schemas.openxmlformats.org/officeDocument/2006/relationships/oleObject" Target="file:///C:\Users\zxx\Desktop\2022&#24180;&#21697;&#36136;&#37492;&#35780;\2022\&#24635;&#32467;\2022&#39532;&#38083;&#3422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7764256740635"/>
          <c:y val="0.0560301837270341"/>
          <c:w val="0.715442395020898"/>
          <c:h val="0.601238440626706"/>
        </c:manualLayout>
      </c:layout>
      <c:barChart>
        <c:barDir val="col"/>
        <c:grouping val="clustered"/>
        <c:varyColors val="0"/>
        <c:ser>
          <c:idx val="1"/>
          <c:order val="1"/>
          <c:tx>
            <c:strRef>
              <c:f>Sheet5!$D$53</c:f>
              <c:strCache>
                <c:ptCount val="1"/>
                <c:pt idx="0">
                  <c:v>TAA</c:v>
                </c:pt>
              </c:strCache>
            </c:strRef>
          </c:tx>
          <c:spPr>
            <a:pattFill prst="pct25">
              <a:fgClr>
                <a:schemeClr val="tx1"/>
              </a:fgClr>
              <a:bgClr>
                <a:schemeClr val="bg1"/>
              </a:bgClr>
            </a:pattFill>
            <a:ln>
              <a:solidFill>
                <a:schemeClr val="tx1"/>
              </a:solidFill>
            </a:ln>
          </c:spPr>
          <c:invertIfNegative val="0"/>
          <c:dLbls>
            <c:dLbl>
              <c:idx val="0"/>
              <c:layout/>
              <c:tx>
                <c:rich>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r>
                      <a:rPr lang="en-US" altLang="en-US" sz="1000" b="1"/>
                      <a:t>618.8a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r>
                      <a:rPr lang="en-US" altLang="en-US" sz="1000" b="1"/>
                      <a:t>619.2a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r>
                      <a:rPr lang="en-US" altLang="en-US" sz="1000" b="1"/>
                      <a:t>504.6c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r>
                      <a:rPr lang="en-US" altLang="en-US" sz="1000" b="1"/>
                      <a:t>462.1d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4"/>
              <c:layout/>
              <c:tx>
                <c:rich>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r>
                      <a:rPr lang="en-US" altLang="en-US" sz="1000" b="1"/>
                      <a:t>552.7b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Sheet5!$B$54:$B$58</c:f>
              <c:strCache>
                <c:ptCount val="5"/>
                <c:pt idx="0">
                  <c:v>乌兰察布马铃薯</c:v>
                </c:pt>
                <c:pt idx="1">
                  <c:v>定西马铃薯</c:v>
                </c:pt>
                <c:pt idx="2">
                  <c:v>克山马铃薯</c:v>
                </c:pt>
                <c:pt idx="3">
                  <c:v>张北马铃薯</c:v>
                </c:pt>
                <c:pt idx="4">
                  <c:v>内蒙古马铃薯</c:v>
                </c:pt>
              </c:strCache>
            </c:strRef>
          </c:cat>
          <c:val>
            <c:numRef>
              <c:f>Sheet5!$D$54:$D$58</c:f>
              <c:numCache>
                <c:formatCode>0.0_);[Red]\(0.0\)</c:formatCode>
                <c:ptCount val="5"/>
                <c:pt idx="0">
                  <c:v>618.8</c:v>
                </c:pt>
                <c:pt idx="1" c:formatCode="0.0_ ">
                  <c:v>619.2</c:v>
                </c:pt>
                <c:pt idx="2" c:formatCode="0.0_ ">
                  <c:v>504.6</c:v>
                </c:pt>
                <c:pt idx="3" c:formatCode="0.0_ ">
                  <c:v>462.1</c:v>
                </c:pt>
                <c:pt idx="4" c:formatCode="0.0_ ">
                  <c:v>552.7</c:v>
                </c:pt>
              </c:numCache>
            </c:numRef>
          </c:val>
        </c:ser>
        <c:ser>
          <c:idx val="2"/>
          <c:order val="2"/>
          <c:tx>
            <c:strRef>
              <c:f>Sheet5!$E$53</c:f>
              <c:strCache>
                <c:ptCount val="1"/>
                <c:pt idx="0">
                  <c:v>EAA</c:v>
                </c:pt>
              </c:strCache>
            </c:strRef>
          </c:tx>
          <c:spPr>
            <a:pattFill prst="wdDnDiag">
              <a:fgClr>
                <a:schemeClr val="tx1"/>
              </a:fgClr>
              <a:bgClr>
                <a:schemeClr val="bg1"/>
              </a:bgClr>
            </a:pattFill>
            <a:ln>
              <a:solidFill>
                <a:schemeClr val="tx1"/>
              </a:solidFill>
            </a:ln>
          </c:spPr>
          <c:invertIfNegative val="0"/>
          <c:dLbls>
            <c:dLbl>
              <c:idx val="0"/>
              <c:layout/>
              <c:tx>
                <c:rich>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r>
                      <a:rPr lang="en-US" altLang="en-US" sz="1000" b="1"/>
                      <a:t>290.7a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r>
                      <a:rPr lang="en-US" altLang="en-US" sz="1000" b="1"/>
                      <a:t>258.8a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r>
                      <a:rPr lang="en-US" altLang="en-US" sz="1000" b="1"/>
                      <a:t>207.4c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r>
                      <a:rPr lang="en-US" altLang="en-US" sz="1000" b="1"/>
                      <a:t>186.6d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4"/>
              <c:layout/>
              <c:tx>
                <c:rich>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r>
                      <a:rPr lang="en-US" altLang="en-US" sz="1000" b="1"/>
                      <a:t>243.3bc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Sheet5!$B$54:$B$58</c:f>
              <c:strCache>
                <c:ptCount val="5"/>
                <c:pt idx="0">
                  <c:v>乌兰察布马铃薯</c:v>
                </c:pt>
                <c:pt idx="1">
                  <c:v>定西马铃薯</c:v>
                </c:pt>
                <c:pt idx="2">
                  <c:v>克山马铃薯</c:v>
                </c:pt>
                <c:pt idx="3">
                  <c:v>张北马铃薯</c:v>
                </c:pt>
                <c:pt idx="4">
                  <c:v>内蒙古马铃薯</c:v>
                </c:pt>
              </c:strCache>
            </c:strRef>
          </c:cat>
          <c:val>
            <c:numRef>
              <c:f>Sheet5!$E$54:$E$58</c:f>
              <c:numCache>
                <c:formatCode>0.0_ </c:formatCode>
                <c:ptCount val="5"/>
                <c:pt idx="0">
                  <c:v>290.676666666667</c:v>
                </c:pt>
                <c:pt idx="1">
                  <c:v>258.8</c:v>
                </c:pt>
                <c:pt idx="2">
                  <c:v>207.4</c:v>
                </c:pt>
                <c:pt idx="3">
                  <c:v>186.6</c:v>
                </c:pt>
                <c:pt idx="4">
                  <c:v>243.3</c:v>
                </c:pt>
              </c:numCache>
            </c:numRef>
          </c:val>
        </c:ser>
        <c:ser>
          <c:idx val="3"/>
          <c:order val="3"/>
          <c:tx>
            <c:strRef>
              <c:f>Sheet5!$F$53</c:f>
              <c:strCache>
                <c:ptCount val="1"/>
                <c:pt idx="0">
                  <c:v>FFAA</c:v>
                </c:pt>
              </c:strCache>
            </c:strRef>
          </c:tx>
          <c:spPr>
            <a:pattFill prst="lgGrid">
              <a:fgClr>
                <a:schemeClr val="tx1"/>
              </a:fgClr>
              <a:bgClr>
                <a:schemeClr val="bg1"/>
              </a:bgClr>
            </a:pattFill>
            <a:ln>
              <a:solidFill>
                <a:schemeClr val="tx1"/>
              </a:solidFill>
            </a:ln>
          </c:spPr>
          <c:invertIfNegative val="0"/>
          <c:dLbls>
            <c:dLbl>
              <c:idx val="0"/>
              <c:layout>
                <c:manualLayout>
                  <c:x val="0.013986013986014"/>
                  <c:y val="0"/>
                </c:manualLayout>
              </c:layout>
              <c:tx>
                <c:rich>
                  <a:bodyPr rot="0" spcFirstLastPara="0" vertOverflow="ellipsis" vert="horz" wrap="square" lIns="38100" tIns="19050" rIns="38100" bIns="19050" anchor="ctr" anchorCtr="1"/>
                  <a:lstStyle/>
                  <a:p>
                    <a:pPr>
                      <a:defRPr lang="zh-CN" sz="1800" b="0" i="0" u="none" strike="noStrike" kern="1200" baseline="0">
                        <a:solidFill>
                          <a:schemeClr val="tx1"/>
                        </a:solidFill>
                        <a:latin typeface="+mn-lt"/>
                        <a:ea typeface="+mn-ea"/>
                        <a:cs typeface="+mn-cs"/>
                      </a:defRPr>
                    </a:pPr>
                    <a:r>
                      <a:rPr lang="en-US" altLang="en-US" sz="1000"/>
                      <a:t>33.5a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3986013986014"/>
                  <c:y val="0"/>
                </c:manualLayout>
              </c:layout>
              <c:tx>
                <c:rich>
                  <a:bodyPr rot="0" spcFirstLastPara="0" vertOverflow="ellipsis" vert="horz" wrap="square" lIns="38100" tIns="19050" rIns="38100" bIns="19050" anchor="ctr" anchorCtr="1"/>
                  <a:lstStyle/>
                  <a:p>
                    <a:pPr>
                      <a:defRPr lang="zh-CN" sz="1800" b="0" i="0" u="none" strike="noStrike" kern="1200" baseline="0">
                        <a:solidFill>
                          <a:schemeClr val="tx1"/>
                        </a:solidFill>
                        <a:latin typeface="+mn-lt"/>
                        <a:ea typeface="+mn-ea"/>
                        <a:cs typeface="+mn-cs"/>
                      </a:defRPr>
                    </a:pPr>
                    <a:r>
                      <a:rPr lang="en-US" altLang="en-US" sz="1000"/>
                      <a:t>28.4b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186480186480186"/>
                  <c:y val="0"/>
                </c:manualLayout>
              </c:layout>
              <c:tx>
                <c:rich>
                  <a:bodyPr rot="0" spcFirstLastPara="0" vertOverflow="ellipsis" vert="horz" wrap="square" lIns="38100" tIns="19050" rIns="38100" bIns="19050" anchor="ctr" anchorCtr="1"/>
                  <a:lstStyle/>
                  <a:p>
                    <a:pPr>
                      <a:defRPr lang="zh-CN" sz="1800" b="0" i="0" u="none" strike="noStrike" kern="1200" baseline="0">
                        <a:solidFill>
                          <a:schemeClr val="tx1"/>
                        </a:solidFill>
                        <a:latin typeface="+mn-lt"/>
                        <a:ea typeface="+mn-ea"/>
                        <a:cs typeface="+mn-cs"/>
                      </a:defRPr>
                    </a:pPr>
                    <a:r>
                      <a:rPr lang="en-US" altLang="en-US" sz="1000"/>
                      <a:t>23.4c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139860139860139"/>
                  <c:y val="0"/>
                </c:manualLayout>
              </c:layout>
              <c:tx>
                <c:rich>
                  <a:bodyPr rot="0" spcFirstLastPara="0" vertOverflow="ellipsis" vert="horz" wrap="square" lIns="38100" tIns="19050" rIns="38100" bIns="19050" anchor="ctr" anchorCtr="1"/>
                  <a:lstStyle/>
                  <a:p>
                    <a:pPr>
                      <a:defRPr lang="zh-CN" sz="1800" b="0" i="0" u="none" strike="noStrike" kern="1200" baseline="0">
                        <a:solidFill>
                          <a:schemeClr val="tx1"/>
                        </a:solidFill>
                        <a:latin typeface="+mn-lt"/>
                        <a:ea typeface="+mn-ea"/>
                        <a:cs typeface="+mn-cs"/>
                      </a:defRPr>
                    </a:pPr>
                    <a:r>
                      <a:rPr lang="en-US" altLang="en-US" sz="1000"/>
                      <a:t>19.4d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4"/>
              <c:layout/>
              <c:tx>
                <c:rich>
                  <a:bodyPr rot="0" spcFirstLastPara="0" vertOverflow="ellipsis" vert="horz" wrap="square" lIns="38100" tIns="19050" rIns="38100" bIns="19050" anchor="ctr" anchorCtr="1"/>
                  <a:lstStyle/>
                  <a:p>
                    <a:pPr>
                      <a:defRPr lang="zh-CN" sz="1800" b="0" i="0" u="none" strike="noStrike" kern="1200" baseline="0">
                        <a:solidFill>
                          <a:schemeClr val="tx1"/>
                        </a:solidFill>
                        <a:latin typeface="+mn-lt"/>
                        <a:ea typeface="+mn-ea"/>
                        <a:cs typeface="+mn-cs"/>
                      </a:defRPr>
                    </a:pPr>
                    <a:r>
                      <a:rPr lang="en-US" altLang="en-US" sz="1000"/>
                      <a:t>28.3b </a:t>
                    </a:r>
                    <a:endParaRPr lang="en-US" altLang="en-US"/>
                  </a:p>
                </c:rich>
              </c:tx>
              <c:numFmt formatCode="General" sourceLinked="1"/>
              <c:spPr>
                <a:noFill/>
                <a:ln>
                  <a:noFill/>
                </a:ln>
                <a:effectLst/>
              </c:spPr>
              <c:txPr>
                <a:bodyPr rot="0" spcFirstLastPara="0" vertOverflow="ellipsis" vert="horz" wrap="square" lIns="38100" tIns="19050" rIns="38100" bIns="19050" anchor="ctr" anchorCtr="1"/>
                <a:lstStyle/>
                <a:p>
                  <a:pPr>
                    <a:defRPr lang="zh-CN" sz="18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Sheet5!$B$54:$B$58</c:f>
              <c:strCache>
                <c:ptCount val="5"/>
                <c:pt idx="0">
                  <c:v>乌兰察布马铃薯</c:v>
                </c:pt>
                <c:pt idx="1">
                  <c:v>定西马铃薯</c:v>
                </c:pt>
                <c:pt idx="2">
                  <c:v>克山马铃薯</c:v>
                </c:pt>
                <c:pt idx="3">
                  <c:v>张北马铃薯</c:v>
                </c:pt>
                <c:pt idx="4">
                  <c:v>内蒙古马铃薯</c:v>
                </c:pt>
              </c:strCache>
            </c:strRef>
          </c:cat>
          <c:val>
            <c:numRef>
              <c:f>Sheet5!$F$54:$F$58</c:f>
              <c:numCache>
                <c:formatCode>0.0_ </c:formatCode>
                <c:ptCount val="5"/>
                <c:pt idx="0">
                  <c:v>33.457249070632</c:v>
                </c:pt>
                <c:pt idx="1">
                  <c:v>28.436018957346</c:v>
                </c:pt>
                <c:pt idx="2">
                  <c:v>23.3918128654971</c:v>
                </c:pt>
                <c:pt idx="3">
                  <c:v>19.3548387096774</c:v>
                </c:pt>
                <c:pt idx="4">
                  <c:v>28.3</c:v>
                </c:pt>
              </c:numCache>
            </c:numRef>
          </c:val>
        </c:ser>
        <c:dLbls>
          <c:showLegendKey val="0"/>
          <c:showVal val="0"/>
          <c:showCatName val="0"/>
          <c:showSerName val="0"/>
          <c:showPercent val="0"/>
          <c:showBubbleSize val="0"/>
        </c:dLbls>
        <c:gapWidth val="150"/>
        <c:axId val="211198336"/>
        <c:axId val="211200256"/>
      </c:barChart>
      <c:lineChart>
        <c:grouping val="standard"/>
        <c:varyColors val="0"/>
        <c:ser>
          <c:idx val="0"/>
          <c:order val="0"/>
          <c:tx>
            <c:strRef>
              <c:f>Sheet5!$C$53</c:f>
              <c:strCache>
                <c:ptCount val="1"/>
                <c:pt idx="0">
                  <c:v>CP</c:v>
                </c:pt>
              </c:strCache>
            </c:strRef>
          </c:tx>
          <c:spPr>
            <a:ln w="28575" cap="rnd" cmpd="sng" algn="ctr">
              <a:solidFill>
                <a:schemeClr val="accent1"/>
              </a:solidFill>
              <a:prstDash val="solid"/>
              <a:round/>
            </a:ln>
          </c:spPr>
          <c:marker>
            <c:spPr>
              <a:ln w="19050" cap="flat" cmpd="sng" algn="ctr">
                <a:solidFill>
                  <a:schemeClr val="accent1"/>
                </a:solidFill>
                <a:prstDash val="solid"/>
                <a:round/>
              </a:ln>
            </c:spPr>
          </c:marker>
          <c:dLbls>
            <c:delete val="1"/>
          </c:dLbls>
          <c:cat>
            <c:strRef>
              <c:f>Sheet5!$B$54:$B$58</c:f>
              <c:strCache>
                <c:ptCount val="5"/>
                <c:pt idx="0">
                  <c:v>乌兰察布马铃薯</c:v>
                </c:pt>
                <c:pt idx="1">
                  <c:v>定西马铃薯</c:v>
                </c:pt>
                <c:pt idx="2">
                  <c:v>克山马铃薯</c:v>
                </c:pt>
                <c:pt idx="3">
                  <c:v>张北马铃薯</c:v>
                </c:pt>
                <c:pt idx="4">
                  <c:v>内蒙古马铃薯</c:v>
                </c:pt>
              </c:strCache>
            </c:strRef>
          </c:cat>
          <c:val>
            <c:numRef>
              <c:f>Sheet5!$C$54:$C$58</c:f>
              <c:numCache>
                <c:formatCode>0.0_ </c:formatCode>
                <c:ptCount val="5"/>
                <c:pt idx="0">
                  <c:v>2.3</c:v>
                </c:pt>
                <c:pt idx="1">
                  <c:v>2.11</c:v>
                </c:pt>
                <c:pt idx="2">
                  <c:v>1.71</c:v>
                </c:pt>
                <c:pt idx="3">
                  <c:v>1.55</c:v>
                </c:pt>
                <c:pt idx="4">
                  <c:v>2</c:v>
                </c:pt>
              </c:numCache>
            </c:numRef>
          </c:val>
          <c:smooth val="0"/>
        </c:ser>
        <c:dLbls>
          <c:showLegendKey val="0"/>
          <c:showVal val="0"/>
          <c:showCatName val="0"/>
          <c:showSerName val="0"/>
          <c:showPercent val="0"/>
          <c:showBubbleSize val="0"/>
        </c:dLbls>
        <c:marker val="1"/>
        <c:smooth val="0"/>
        <c:axId val="210970880"/>
        <c:axId val="210968960"/>
      </c:lineChart>
      <c:catAx>
        <c:axId val="211198336"/>
        <c:scaling>
          <c:orientation val="minMax"/>
        </c:scaling>
        <c:delete val="0"/>
        <c:axPos val="b"/>
        <c:majorTickMark val="out"/>
        <c:minorTickMark val="none"/>
        <c:tickLblPos val="nextTo"/>
        <c:txPr>
          <a:bodyPr rot="0" spcFirstLastPara="0" vertOverflow="ellipsis" vert="eaVert" wrap="square" anchor="ctr" anchorCtr="1"/>
          <a:lstStyle/>
          <a:p>
            <a:pPr>
              <a:defRPr lang="zh-CN" sz="1000" b="0" i="0" u="none" strike="noStrike" kern="1200" baseline="0">
                <a:solidFill>
                  <a:schemeClr val="tx1"/>
                </a:solidFill>
                <a:latin typeface="+mn-lt"/>
                <a:ea typeface="+mn-ea"/>
                <a:cs typeface="+mn-cs"/>
              </a:defRPr>
            </a:pPr>
          </a:p>
        </c:txPr>
        <c:crossAx val="211200256"/>
        <c:crosses val="autoZero"/>
        <c:auto val="1"/>
        <c:lblAlgn val="ctr"/>
        <c:lblOffset val="100"/>
        <c:noMultiLvlLbl val="0"/>
      </c:catAx>
      <c:valAx>
        <c:axId val="211200256"/>
        <c:scaling>
          <c:orientation val="minMax"/>
        </c:scaling>
        <c:delete val="0"/>
        <c:axPos val="l"/>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sz="1000"/>
                  <a:t>每克蛋白中含量（</a:t>
                </a:r>
                <a:r>
                  <a:rPr lang="en-US" sz="1000"/>
                  <a:t>mg/g</a:t>
                </a:r>
                <a:r>
                  <a:rPr lang="zh-CN" sz="1000"/>
                  <a:t>）</a:t>
                </a:r>
                <a:endParaRPr lang="zh-CN" sz="1000"/>
              </a:p>
            </c:rich>
          </c:tx>
          <c:layout/>
          <c:overlay val="0"/>
        </c:title>
        <c:numFmt formatCode="0.0_);[Red]\(0.0\)" sourceLinked="1"/>
        <c:majorTickMark val="out"/>
        <c:minorTickMark val="none"/>
        <c:tickLblPos val="nextTo"/>
        <c:txPr>
          <a:bodyPr rot="-60000000" spcFirstLastPara="0" vertOverflow="ellipsis" vert="horz" wrap="square" anchor="ctr" anchorCtr="1"/>
          <a:lstStyle/>
          <a:p>
            <a:pPr>
              <a:defRPr lang="zh-CN" sz="900" b="1" i="0" u="none" strike="noStrike" kern="1200" baseline="0">
                <a:solidFill>
                  <a:schemeClr val="tx1"/>
                </a:solidFill>
                <a:latin typeface="+mn-lt"/>
                <a:ea typeface="+mn-ea"/>
                <a:cs typeface="+mn-cs"/>
              </a:defRPr>
            </a:pPr>
          </a:p>
        </c:txPr>
        <c:crossAx val="211198336"/>
        <c:crosses val="autoZero"/>
        <c:crossBetween val="between"/>
        <c:majorUnit val="200"/>
      </c:valAx>
      <c:catAx>
        <c:axId val="210970880"/>
        <c:scaling>
          <c:orientation val="minMax"/>
        </c:scaling>
        <c:delete val="1"/>
        <c:axPos val="b"/>
        <c:majorTickMark val="out"/>
        <c:minorTickMark val="none"/>
        <c:tickLblPos val="nextTo"/>
        <c:txPr>
          <a:bodyPr rot="-60000000" spcFirstLastPara="0" vertOverflow="ellipsis" vert="horz" wrap="square" anchor="ctr" anchorCtr="1"/>
          <a:lstStyle/>
          <a:p>
            <a:pPr>
              <a:defRPr lang="zh-CN" sz="1800" b="0" i="0" u="none" strike="noStrike" kern="1200" baseline="0">
                <a:solidFill>
                  <a:schemeClr val="tx1"/>
                </a:solidFill>
                <a:latin typeface="+mn-lt"/>
                <a:ea typeface="+mn-ea"/>
                <a:cs typeface="+mn-cs"/>
              </a:defRPr>
            </a:pPr>
          </a:p>
        </c:txPr>
        <c:crossAx val="210968960"/>
        <c:crosses val="autoZero"/>
        <c:auto val="1"/>
        <c:lblAlgn val="ctr"/>
        <c:lblOffset val="100"/>
        <c:noMultiLvlLbl val="0"/>
      </c:catAx>
      <c:valAx>
        <c:axId val="210968960"/>
        <c:scaling>
          <c:orientation val="minMax"/>
        </c:scaling>
        <c:delete val="0"/>
        <c:axPos val="r"/>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sz="1000"/>
                  <a:t>蛋白含量（</a:t>
                </a:r>
                <a:r>
                  <a:rPr lang="en-US" sz="1000"/>
                  <a:t>%FW)</a:t>
                </a:r>
                <a:endParaRPr lang="zh-CN" sz="1000"/>
              </a:p>
            </c:rich>
          </c:tx>
          <c:layout>
            <c:manualLayout>
              <c:xMode val="edge"/>
              <c:yMode val="edge"/>
              <c:x val="0.926730738004896"/>
              <c:y val="0.108746068903549"/>
            </c:manualLayout>
          </c:layout>
          <c:overlay val="0"/>
        </c:title>
        <c:numFmt formatCode="0.0_ " sourceLinked="1"/>
        <c:majorTickMark val="out"/>
        <c:minorTickMark val="none"/>
        <c:tickLblPos val="nextTo"/>
        <c:txPr>
          <a:bodyPr rot="-60000000" spcFirstLastPara="0" vertOverflow="ellipsis" vert="horz" wrap="square" anchor="ctr" anchorCtr="1"/>
          <a:lstStyle/>
          <a:p>
            <a:pPr>
              <a:defRPr lang="zh-CN" sz="900" b="1" i="0" u="none" strike="noStrike" kern="1200" baseline="0">
                <a:solidFill>
                  <a:schemeClr val="tx1"/>
                </a:solidFill>
                <a:latin typeface="+mn-lt"/>
                <a:ea typeface="+mn-ea"/>
                <a:cs typeface="+mn-cs"/>
              </a:defRPr>
            </a:pPr>
          </a:p>
        </c:txPr>
        <c:crossAx val="210970880"/>
        <c:crosses val="max"/>
        <c:crossBetween val="between"/>
        <c:majorUnit val="1"/>
      </c:valAx>
    </c:plotArea>
    <c:legend>
      <c:legendPos val="r"/>
      <c:layout>
        <c:manualLayout>
          <c:xMode val="edge"/>
          <c:yMode val="edge"/>
          <c:x val="0.310060212865093"/>
          <c:y val="0.00741289844329133"/>
          <c:w val="0.507599434686049"/>
          <c:h val="0.117276173811607"/>
        </c:manualLayout>
      </c:layout>
      <c:overlay val="0"/>
      <c:txPr>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73bc03a-545a-4f7c-8647-9dc13ee779ac}"/>
      </c:ext>
    </c:extLst>
  </c:chart>
  <c:spPr>
    <a:ln w="9525" cap="flat" cmpd="sng" algn="ctr">
      <a:noFill/>
      <a:prstDash val="solid"/>
      <a:round/>
    </a:ln>
  </c:spPr>
  <c:txPr>
    <a:bodyPr/>
    <a:lstStyle/>
    <a:p>
      <a:pPr>
        <a:defRPr lang="zh-CN" sz="1800"/>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94790026246719"/>
          <c:y val="0.108209368565771"/>
          <c:w val="0.761449256342957"/>
          <c:h val="0.581951203467988"/>
        </c:manualLayout>
      </c:layout>
      <c:barChart>
        <c:barDir val="col"/>
        <c:grouping val="clustered"/>
        <c:varyColors val="0"/>
        <c:ser>
          <c:idx val="0"/>
          <c:order val="0"/>
          <c:tx>
            <c:strRef>
              <c:f>Sheet5!$C$73</c:f>
              <c:strCache>
                <c:ptCount val="1"/>
                <c:pt idx="0">
                  <c:v>淀粉</c:v>
                </c:pt>
              </c:strCache>
            </c:strRef>
          </c:tx>
          <c:spPr>
            <a:pattFill prst="lgGrid">
              <a:fgClr>
                <a:schemeClr val="tx1"/>
              </a:fgClr>
              <a:bgClr>
                <a:schemeClr val="bg1"/>
              </a:bgClr>
            </a:pattFill>
            <a:ln>
              <a:solidFill>
                <a:schemeClr val="tx1"/>
              </a:solidFill>
            </a:ln>
          </c:spPr>
          <c:invertIfNegative val="0"/>
          <c:dLbls>
            <c:delete val="1"/>
          </c:dLbls>
          <c:errBars>
            <c:errBarType val="both"/>
            <c:errValType val="percentage"/>
            <c:noEndCap val="0"/>
            <c:val val="5"/>
          </c:errBars>
          <c:cat>
            <c:strRef>
              <c:f>Sheet5!$B$74:$B$78</c:f>
              <c:strCache>
                <c:ptCount val="5"/>
                <c:pt idx="0">
                  <c:v>乌兰察布马铃薯</c:v>
                </c:pt>
                <c:pt idx="1">
                  <c:v>定西马铃薯</c:v>
                </c:pt>
                <c:pt idx="2">
                  <c:v>克山马铃薯</c:v>
                </c:pt>
                <c:pt idx="3">
                  <c:v>张北马铃薯</c:v>
                </c:pt>
                <c:pt idx="4">
                  <c:v>内蒙古马铃薯</c:v>
                </c:pt>
              </c:strCache>
            </c:strRef>
          </c:cat>
          <c:val>
            <c:numRef>
              <c:f>Sheet5!$C$74:$C$78</c:f>
              <c:numCache>
                <c:formatCode>General</c:formatCode>
                <c:ptCount val="5"/>
                <c:pt idx="0">
                  <c:v>14.6</c:v>
                </c:pt>
                <c:pt idx="1">
                  <c:v>17.6</c:v>
                </c:pt>
                <c:pt idx="2">
                  <c:v>14.8</c:v>
                </c:pt>
                <c:pt idx="3">
                  <c:v>13.5</c:v>
                </c:pt>
                <c:pt idx="4">
                  <c:v>14.2</c:v>
                </c:pt>
              </c:numCache>
            </c:numRef>
          </c:val>
        </c:ser>
        <c:ser>
          <c:idx val="1"/>
          <c:order val="1"/>
          <c:tx>
            <c:strRef>
              <c:f>Sheet5!$D$73</c:f>
              <c:strCache>
                <c:ptCount val="1"/>
                <c:pt idx="0">
                  <c:v>直链淀粉</c:v>
                </c:pt>
              </c:strCache>
            </c:strRef>
          </c:tx>
          <c:spPr>
            <a:pattFill prst="pct25">
              <a:fgClr>
                <a:schemeClr val="tx1"/>
              </a:fgClr>
              <a:bgClr>
                <a:schemeClr val="bg1"/>
              </a:bgClr>
            </a:pattFill>
            <a:ln>
              <a:solidFill>
                <a:schemeClr val="tx1"/>
              </a:solidFill>
            </a:ln>
          </c:spPr>
          <c:invertIfNegative val="0"/>
          <c:dLbls>
            <c:delete val="1"/>
          </c:dLbls>
          <c:errBars>
            <c:errBarType val="both"/>
            <c:errValType val="percentage"/>
            <c:noEndCap val="0"/>
            <c:val val="5"/>
          </c:errBars>
          <c:cat>
            <c:strRef>
              <c:f>Sheet5!$B$74:$B$78</c:f>
              <c:strCache>
                <c:ptCount val="5"/>
                <c:pt idx="0">
                  <c:v>乌兰察布马铃薯</c:v>
                </c:pt>
                <c:pt idx="1">
                  <c:v>定西马铃薯</c:v>
                </c:pt>
                <c:pt idx="2">
                  <c:v>克山马铃薯</c:v>
                </c:pt>
                <c:pt idx="3">
                  <c:v>张北马铃薯</c:v>
                </c:pt>
                <c:pt idx="4">
                  <c:v>内蒙古马铃薯</c:v>
                </c:pt>
              </c:strCache>
            </c:strRef>
          </c:cat>
          <c:val>
            <c:numRef>
              <c:f>Sheet5!$D$74:$D$78</c:f>
              <c:numCache>
                <c:formatCode>General</c:formatCode>
                <c:ptCount val="5"/>
                <c:pt idx="0">
                  <c:v>11.7</c:v>
                </c:pt>
                <c:pt idx="1">
                  <c:v>14.3</c:v>
                </c:pt>
                <c:pt idx="2">
                  <c:v>15.7</c:v>
                </c:pt>
                <c:pt idx="3">
                  <c:v>17.9</c:v>
                </c:pt>
                <c:pt idx="4">
                  <c:v>14.7</c:v>
                </c:pt>
              </c:numCache>
            </c:numRef>
          </c:val>
        </c:ser>
        <c:dLbls>
          <c:showLegendKey val="0"/>
          <c:showVal val="0"/>
          <c:showCatName val="0"/>
          <c:showSerName val="0"/>
          <c:showPercent val="0"/>
          <c:showBubbleSize val="0"/>
        </c:dLbls>
        <c:gapWidth val="150"/>
        <c:axId val="211253504"/>
        <c:axId val="211259776"/>
      </c:barChart>
      <c:lineChart>
        <c:grouping val="standard"/>
        <c:varyColors val="0"/>
        <c:ser>
          <c:idx val="2"/>
          <c:order val="2"/>
          <c:tx>
            <c:strRef>
              <c:f>Sheet5!$E$73</c:f>
              <c:strCache>
                <c:ptCount val="1"/>
                <c:pt idx="0">
                  <c:v>支链淀粉</c:v>
                </c:pt>
              </c:strCache>
            </c:strRef>
          </c:tx>
          <c:spPr>
            <a:ln w="34925" cap="rnd" cmpd="sng" algn="ctr">
              <a:solidFill>
                <a:srgbClr val="00B050"/>
              </a:solidFill>
              <a:prstDash val="solid"/>
              <a:round/>
            </a:ln>
          </c:spPr>
          <c:marker>
            <c:spPr>
              <a:ln w="6350" cap="flat" cmpd="sng" algn="ctr">
                <a:solidFill>
                  <a:srgbClr val="00B050"/>
                </a:solidFill>
                <a:prstDash val="solid"/>
                <a:round/>
              </a:ln>
            </c:spPr>
          </c:marker>
          <c:dLbls>
            <c:delete val="1"/>
          </c:dLbls>
          <c:cat>
            <c:strRef>
              <c:f>Sheet5!$B$74:$B$78</c:f>
              <c:strCache>
                <c:ptCount val="5"/>
                <c:pt idx="0">
                  <c:v>乌兰察布马铃薯</c:v>
                </c:pt>
                <c:pt idx="1">
                  <c:v>定西马铃薯</c:v>
                </c:pt>
                <c:pt idx="2">
                  <c:v>克山马铃薯</c:v>
                </c:pt>
                <c:pt idx="3">
                  <c:v>张北马铃薯</c:v>
                </c:pt>
                <c:pt idx="4">
                  <c:v>内蒙古马铃薯</c:v>
                </c:pt>
              </c:strCache>
            </c:strRef>
          </c:cat>
          <c:val>
            <c:numRef>
              <c:f>Sheet5!$E$74:$E$78</c:f>
              <c:numCache>
                <c:formatCode>General</c:formatCode>
                <c:ptCount val="5"/>
                <c:pt idx="0">
                  <c:v>88.3</c:v>
                </c:pt>
                <c:pt idx="1">
                  <c:v>85.7</c:v>
                </c:pt>
                <c:pt idx="2">
                  <c:v>84.3</c:v>
                </c:pt>
                <c:pt idx="3">
                  <c:v>82.1</c:v>
                </c:pt>
                <c:pt idx="4">
                  <c:v>85.3</c:v>
                </c:pt>
              </c:numCache>
            </c:numRef>
          </c:val>
          <c:smooth val="0"/>
        </c:ser>
        <c:dLbls>
          <c:showLegendKey val="0"/>
          <c:showVal val="0"/>
          <c:showCatName val="0"/>
          <c:showSerName val="0"/>
          <c:showPercent val="0"/>
          <c:showBubbleSize val="0"/>
        </c:dLbls>
        <c:marker val="1"/>
        <c:smooth val="0"/>
        <c:axId val="211263872"/>
        <c:axId val="211261696"/>
      </c:lineChart>
      <c:catAx>
        <c:axId val="211253504"/>
        <c:scaling>
          <c:orientation val="minMax"/>
        </c:scaling>
        <c:delete val="0"/>
        <c:axPos val="b"/>
        <c:majorTickMark val="out"/>
        <c:minorTickMark val="none"/>
        <c:tickLblPos val="nextTo"/>
        <c:txPr>
          <a:bodyPr rot="0" spcFirstLastPara="0" vertOverflow="ellipsis" vert="eaVert" wrap="square" anchor="ctr" anchorCtr="1"/>
          <a:lstStyle/>
          <a:p>
            <a:pPr>
              <a:defRPr lang="zh-CN" sz="1000" b="0" i="0" u="none" strike="noStrike" kern="1200" baseline="0">
                <a:solidFill>
                  <a:schemeClr val="tx1"/>
                </a:solidFill>
                <a:latin typeface="+mn-lt"/>
                <a:ea typeface="+mn-ea"/>
                <a:cs typeface="+mn-cs"/>
              </a:defRPr>
            </a:pPr>
          </a:p>
        </c:txPr>
        <c:crossAx val="211259776"/>
        <c:crosses val="autoZero"/>
        <c:auto val="1"/>
        <c:lblAlgn val="ctr"/>
        <c:lblOffset val="100"/>
        <c:noMultiLvlLbl val="0"/>
      </c:catAx>
      <c:valAx>
        <c:axId val="211259776"/>
        <c:scaling>
          <c:orientation val="minMax"/>
        </c:scaling>
        <c:delete val="0"/>
        <c:axPos val="l"/>
        <c:title>
          <c:tx>
            <c:rich>
              <a:bodyPr rot="-5400000" spcFirstLastPara="0" vertOverflow="ellipsis" vert="horz" wrap="square" anchor="ctr" anchorCtr="1"/>
              <a:lstStyle/>
              <a:p>
                <a:pPr>
                  <a:defRPr lang="zh-CN" sz="1050" b="1" i="0" u="none" strike="noStrike" kern="1200" baseline="0">
                    <a:solidFill>
                      <a:schemeClr val="tx1"/>
                    </a:solidFill>
                    <a:latin typeface="+mn-lt"/>
                    <a:ea typeface="+mn-ea"/>
                    <a:cs typeface="+mn-cs"/>
                  </a:defRPr>
                </a:pPr>
                <a:r>
                  <a:rPr lang="zh-CN" sz="1050"/>
                  <a:t>含量（</a:t>
                </a:r>
                <a:r>
                  <a:rPr lang="en-US" sz="1050"/>
                  <a:t>%</a:t>
                </a:r>
                <a:r>
                  <a:rPr lang="zh-CN" sz="1050"/>
                  <a:t>）</a:t>
                </a:r>
                <a:endParaRPr lang="zh-CN" sz="1050"/>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1253504"/>
        <c:crosses val="autoZero"/>
        <c:crossBetween val="between"/>
      </c:valAx>
      <c:catAx>
        <c:axId val="211263872"/>
        <c:scaling>
          <c:orientation val="minMax"/>
        </c:scaling>
        <c:delete val="1"/>
        <c:axPos val="b"/>
        <c:majorTickMark val="out"/>
        <c:minorTickMark val="none"/>
        <c:tickLblPos val="nextTo"/>
        <c:txPr>
          <a:bodyPr rot="-60000000" spcFirstLastPara="0" vertOverflow="ellipsis" vert="horz" wrap="square" anchor="ctr" anchorCtr="1"/>
          <a:lstStyle/>
          <a:p>
            <a:pPr>
              <a:defRPr lang="zh-CN" sz="1800" b="0" i="0" u="none" strike="noStrike" kern="1200" baseline="0">
                <a:solidFill>
                  <a:schemeClr val="tx1"/>
                </a:solidFill>
                <a:latin typeface="+mn-lt"/>
                <a:ea typeface="+mn-ea"/>
                <a:cs typeface="+mn-cs"/>
              </a:defRPr>
            </a:pPr>
          </a:p>
        </c:txPr>
        <c:crossAx val="211261696"/>
        <c:crosses val="autoZero"/>
        <c:auto val="1"/>
        <c:lblAlgn val="ctr"/>
        <c:lblOffset val="100"/>
        <c:noMultiLvlLbl val="0"/>
      </c:catAx>
      <c:valAx>
        <c:axId val="211261696"/>
        <c:scaling>
          <c:orientation val="minMax"/>
        </c:scaling>
        <c:delete val="0"/>
        <c:axPos val="r"/>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sz="1000"/>
                  <a:t>含量（</a:t>
                </a:r>
                <a:r>
                  <a:rPr lang="en-US" sz="1000"/>
                  <a:t>%</a:t>
                </a:r>
                <a:r>
                  <a:rPr lang="zh-CN" sz="1000"/>
                  <a:t>）</a:t>
                </a:r>
                <a:endParaRPr lang="zh-CN" sz="1000"/>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1263872"/>
        <c:crosses val="max"/>
        <c:crossBetween val="between"/>
      </c:valAx>
    </c:plotArea>
    <c:legend>
      <c:legendPos val="r"/>
      <c:layout>
        <c:manualLayout>
          <c:xMode val="edge"/>
          <c:yMode val="edge"/>
          <c:x val="0.0816479675458119"/>
          <c:y val="0.00607410406964973"/>
          <c:w val="0.723616236162361"/>
          <c:h val="0.181282339707537"/>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a6733dc-5fc1-4b6a-ae8e-ab2d16480b1f}"/>
      </c:ext>
    </c:extLst>
  </c:chart>
  <c:spPr>
    <a:ln w="9525" cap="flat" cmpd="sng" algn="ctr">
      <a:noFill/>
      <a:prstDash val="solid"/>
      <a:round/>
    </a:ln>
  </c:spPr>
  <c:txPr>
    <a:bodyPr/>
    <a:lstStyle/>
    <a:p>
      <a:pPr>
        <a:defRPr lang="zh-CN" sz="1800"/>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413</Words>
  <Characters>425</Characters>
  <Lines>8</Lines>
  <Paragraphs>2</Paragraphs>
  <TotalTime>5</TotalTime>
  <ScaleCrop>false</ScaleCrop>
  <LinksUpToDate>false</LinksUpToDate>
  <CharactersWithSpaces>609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2020-04-16T08:00:00Z</dcterms:created>
  <dc:creator>CLMB</dc:creator>
  <cp:lastModifiedBy>moon</cp:lastModifiedBy>
  <cp:lastPrinted>2020-05-07T00:59:00Z</cp:lastPrinted>
  <dcterms:modified xsi:type="dcterms:W3CDTF">2025-01-07T07:44:18Z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BAC166BFFF9045198B671ED017B3DF70_13</vt:lpwstr>
  </property>
  <property fmtid="{D5CDD505-2E9C-101B-9397-08002B2CF9AE}" pid="4" name="KSOTemplateDocerSaveRecord">
    <vt:lpwstr>eyJoZGlkIjoiZWU2NGEwYzMwM2ZjMDI1MTZhOTIzYzczNWZlYWU1Y2IiLCJ1c2VySWQiOiIxMTQyNjgzMTExIn0=</vt:lpwstr>
  </property>
</Properties>
</file>